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38B12">
      <w:pPr>
        <w:widowControl/>
        <w:numPr>
          <w:numId w:val="0"/>
        </w:numPr>
        <w:kinsoku w:val="0"/>
        <w:autoSpaceDE w:val="0"/>
        <w:autoSpaceDN w:val="0"/>
        <w:adjustRightInd w:val="0"/>
        <w:snapToGrid w:val="0"/>
        <w:spacing w:line="324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</w:pPr>
      <w:bookmarkStart w:id="0" w:name="_Toc112242369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619 分析化学</w:t>
      </w:r>
    </w:p>
    <w:p w14:paraId="4C296F05">
      <w:pPr>
        <w:widowControl/>
        <w:numPr>
          <w:numId w:val="0"/>
        </w:numPr>
        <w:kinsoku w:val="0"/>
        <w:autoSpaceDE w:val="0"/>
        <w:autoSpaceDN w:val="0"/>
        <w:adjustRightInd w:val="0"/>
        <w:snapToGrid w:val="0"/>
        <w:spacing w:line="324" w:lineRule="auto"/>
        <w:jc w:val="both"/>
        <w:textAlignment w:val="baseline"/>
        <w:outlineLvl w:val="1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</w:pPr>
    </w:p>
    <w:bookmarkEnd w:id="0"/>
    <w:p w14:paraId="1C7BA608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11F90BB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国硕士研究生入学考试是为高等学校招收硕士研究生而设置的。其中，分析化学是化学专业、分析专业与海洋化学专业的专业基础课程，属我校命题的考试。它的评价标准是高等学校优秀毕业生能达到及格或及格以上水平，以保证录取者具有较扎实的分析化学的基础知识。</w:t>
      </w:r>
    </w:p>
    <w:p w14:paraId="62615168">
      <w:pPr>
        <w:spacing w:line="360" w:lineRule="auto"/>
        <w:ind w:firstLine="513" w:firstLineChars="214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考试对象为报考中国海洋大学硕士研究生入学考试的准考考生。</w:t>
      </w:r>
    </w:p>
    <w:p w14:paraId="30BDCCBF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4FCEBF50">
      <w:pPr>
        <w:spacing w:line="360" w:lineRule="auto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分析化学可分为定量分析化学和仪器分析两部分。要求考生了解分析化学在科研及生产实际中的重要意义；能系统理解分析化学的基本概念和基本原理，提高定量处理水溶液中离子平衡关系的能力，准确树立“量”的概念；掌握常用仪器分析方法的基本原理、仪器构造和分析应用；能够根据具体问题选择合适的仪器分析方法。正确掌握分析化学的基本操作，并初步具有解决某些实际分析化学问题的能力。</w:t>
      </w:r>
    </w:p>
    <w:p w14:paraId="7A93DA34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46D0F7A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本考试为闭卷考试，满分为150分，考试时间为180分钟。</w:t>
      </w:r>
    </w:p>
    <w:p w14:paraId="4BC02C0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试卷结构：选择2</w:t>
      </w:r>
      <w:r>
        <w:rPr>
          <w:rFonts w:ascii="宋体" w:hAnsi="宋体"/>
          <w:sz w:val="24"/>
        </w:rPr>
        <w:t>0</w:t>
      </w:r>
      <w:r>
        <w:rPr>
          <w:rFonts w:hint="eastAsia" w:ascii="宋体" w:hAnsi="宋体"/>
          <w:sz w:val="24"/>
        </w:rPr>
        <w:t>-</w:t>
      </w:r>
      <w:r>
        <w:rPr>
          <w:rFonts w:ascii="宋体" w:hAnsi="宋体"/>
          <w:sz w:val="24"/>
        </w:rPr>
        <w:t>30</w:t>
      </w:r>
      <w:r>
        <w:rPr>
          <w:rFonts w:hint="eastAsia" w:ascii="宋体" w:hAnsi="宋体"/>
          <w:sz w:val="24"/>
        </w:rPr>
        <w:t>%，填空</w:t>
      </w:r>
      <w:r>
        <w:rPr>
          <w:rFonts w:ascii="宋体" w:hAnsi="宋体"/>
          <w:sz w:val="24"/>
        </w:rPr>
        <w:t>20</w:t>
      </w:r>
      <w:r>
        <w:rPr>
          <w:rFonts w:hint="eastAsia" w:ascii="宋体" w:hAnsi="宋体"/>
          <w:sz w:val="24"/>
        </w:rPr>
        <w:t>-</w:t>
      </w:r>
      <w:r>
        <w:rPr>
          <w:rFonts w:ascii="宋体" w:hAnsi="宋体"/>
          <w:sz w:val="24"/>
        </w:rPr>
        <w:t>30</w:t>
      </w:r>
      <w:r>
        <w:rPr>
          <w:rFonts w:hint="eastAsia" w:ascii="宋体" w:hAnsi="宋体"/>
          <w:sz w:val="24"/>
        </w:rPr>
        <w:t>%，简答20-</w:t>
      </w:r>
      <w:r>
        <w:rPr>
          <w:rFonts w:ascii="宋体" w:hAnsi="宋体"/>
          <w:sz w:val="24"/>
        </w:rPr>
        <w:t>30</w:t>
      </w:r>
      <w:r>
        <w:rPr>
          <w:rFonts w:hint="eastAsia" w:ascii="宋体" w:hAnsi="宋体"/>
          <w:sz w:val="24"/>
        </w:rPr>
        <w:t>%，计算</w:t>
      </w:r>
      <w:r>
        <w:rPr>
          <w:rFonts w:ascii="宋体" w:hAnsi="宋体"/>
          <w:sz w:val="24"/>
        </w:rPr>
        <w:t>20</w:t>
      </w:r>
      <w:r>
        <w:rPr>
          <w:rFonts w:hint="eastAsia" w:ascii="宋体" w:hAnsi="宋体"/>
          <w:sz w:val="24"/>
        </w:rPr>
        <w:t>-</w:t>
      </w:r>
      <w:r>
        <w:rPr>
          <w:rFonts w:ascii="宋体" w:hAnsi="宋体"/>
          <w:sz w:val="24"/>
        </w:rPr>
        <w:t>30</w:t>
      </w:r>
      <w:r>
        <w:rPr>
          <w:rFonts w:hint="eastAsia" w:ascii="宋体" w:hAnsi="宋体"/>
          <w:sz w:val="24"/>
        </w:rPr>
        <w:t>%。</w:t>
      </w:r>
    </w:p>
    <w:p w14:paraId="58846253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39E59535">
      <w:pPr>
        <w:tabs>
          <w:tab w:val="left" w:pos="360"/>
        </w:tabs>
        <w:spacing w:before="46" w:beforeLines="15"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《分析化学》部分：（40%）</w:t>
      </w:r>
    </w:p>
    <w:p w14:paraId="2E9FFF54">
      <w:pPr>
        <w:tabs>
          <w:tab w:val="left" w:pos="360"/>
        </w:tabs>
        <w:spacing w:before="46" w:beforeLines="15"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第一章</w:t>
      </w:r>
      <w:r>
        <w:rPr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概论</w:t>
      </w:r>
    </w:p>
    <w:p w14:paraId="38825F75">
      <w:pPr>
        <w:numPr>
          <w:ilvl w:val="0"/>
          <w:numId w:val="1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分析化学的定义、任务、作用和分析方法的分类；分析化学发展简史和现代分析化学学科发展趋势及特点；</w:t>
      </w:r>
    </w:p>
    <w:p w14:paraId="6C739C8A">
      <w:pPr>
        <w:numPr>
          <w:ilvl w:val="0"/>
          <w:numId w:val="1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定量分析过程和分析方法；</w:t>
      </w:r>
    </w:p>
    <w:p w14:paraId="3A8DFA45">
      <w:pPr>
        <w:numPr>
          <w:ilvl w:val="0"/>
          <w:numId w:val="1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滴定分析的方法；滴定分析对化学反应的要求和滴定方式及分类；基准物质和标准溶液；</w:t>
      </w:r>
    </w:p>
    <w:p w14:paraId="367E8853">
      <w:pPr>
        <w:numPr>
          <w:ilvl w:val="0"/>
          <w:numId w:val="1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掌握滴定分析的基本计算，浓度换算。</w:t>
      </w:r>
    </w:p>
    <w:p w14:paraId="736BD4CC">
      <w:pPr>
        <w:tabs>
          <w:tab w:val="left" w:pos="360"/>
        </w:tabs>
        <w:spacing w:before="46" w:beforeLines="15"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第二章 分析试样的采集与制备</w:t>
      </w:r>
    </w:p>
    <w:p w14:paraId="79C8D19B">
      <w:pPr>
        <w:numPr>
          <w:ilvl w:val="0"/>
          <w:numId w:val="2"/>
        </w:numPr>
        <w:tabs>
          <w:tab w:val="left" w:pos="360"/>
        </w:tabs>
        <w:spacing w:before="46" w:beforeLines="15" w:line="360" w:lineRule="auto"/>
        <w:ind w:left="358" w:hanging="357" w:hangingChars="149"/>
        <w:rPr>
          <w:sz w:val="24"/>
          <w:szCs w:val="24"/>
        </w:rPr>
      </w:pPr>
      <w:r>
        <w:rPr>
          <w:rFonts w:hint="eastAsia"/>
          <w:sz w:val="24"/>
          <w:szCs w:val="24"/>
        </w:rPr>
        <w:t>定量分析的基本过程及各步操作的主要目标；</w:t>
      </w:r>
    </w:p>
    <w:p w14:paraId="350D2B26">
      <w:pPr>
        <w:numPr>
          <w:ilvl w:val="0"/>
          <w:numId w:val="2"/>
        </w:numPr>
        <w:tabs>
          <w:tab w:val="left" w:pos="360"/>
        </w:tabs>
        <w:spacing w:before="46" w:beforeLines="15" w:line="360" w:lineRule="auto"/>
        <w:ind w:left="358" w:hanging="357" w:hangingChars="149"/>
        <w:rPr>
          <w:sz w:val="24"/>
          <w:szCs w:val="24"/>
        </w:rPr>
      </w:pPr>
      <w:r>
        <w:rPr>
          <w:rFonts w:hint="eastAsia"/>
          <w:sz w:val="24"/>
          <w:szCs w:val="24"/>
        </w:rPr>
        <w:t>试样采集、制备、分解及预处理的基本操作。</w:t>
      </w:r>
    </w:p>
    <w:p w14:paraId="36262E72">
      <w:pPr>
        <w:tabs>
          <w:tab w:val="left" w:pos="360"/>
        </w:tabs>
        <w:spacing w:before="46" w:beforeLines="15"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第三章 分析化学中的误差与数据处理</w:t>
      </w:r>
    </w:p>
    <w:p w14:paraId="5FFF7BF5">
      <w:pPr>
        <w:numPr>
          <w:ilvl w:val="0"/>
          <w:numId w:val="3"/>
        </w:num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 w:cs="宋体"/>
          <w:sz w:val="24"/>
          <w:szCs w:val="24"/>
        </w:rPr>
        <w:t>分析化学中误差的概念，产生的原因；误差与偏差；</w:t>
      </w:r>
    </w:p>
    <w:p w14:paraId="3C690FB5">
      <w:pPr>
        <w:numPr>
          <w:ilvl w:val="0"/>
          <w:numId w:val="3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系统误差，随机误差，误差的消除方法；</w:t>
      </w:r>
    </w:p>
    <w:p w14:paraId="48382F43">
      <w:pPr>
        <w:numPr>
          <w:ilvl w:val="0"/>
          <w:numId w:val="3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随机误差的正态分布的特点及区间概率的概念；</w:t>
      </w:r>
    </w:p>
    <w:p w14:paraId="66973CE0">
      <w:pPr>
        <w:numPr>
          <w:ilvl w:val="0"/>
          <w:numId w:val="3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i/>
          <w:iCs/>
          <w:sz w:val="24"/>
          <w:szCs w:val="24"/>
        </w:rPr>
        <w:t>t</w:t>
      </w:r>
      <w:r>
        <w:rPr>
          <w:rFonts w:hint="eastAsia" w:cs="宋体"/>
          <w:sz w:val="24"/>
          <w:szCs w:val="24"/>
        </w:rPr>
        <w:t>分布曲线，置信度和平均值的置信区间；显著性检验：</w:t>
      </w:r>
      <w:r>
        <w:rPr>
          <w:i/>
          <w:iCs/>
          <w:sz w:val="24"/>
          <w:szCs w:val="24"/>
        </w:rPr>
        <w:t>t</w:t>
      </w:r>
      <w:r>
        <w:rPr>
          <w:rFonts w:hint="eastAsia" w:cs="宋体"/>
          <w:sz w:val="24"/>
          <w:szCs w:val="24"/>
        </w:rPr>
        <w:t>检验和</w:t>
      </w:r>
      <w:r>
        <w:rPr>
          <w:i/>
          <w:iCs/>
          <w:sz w:val="24"/>
          <w:szCs w:val="24"/>
        </w:rPr>
        <w:t>F</w:t>
      </w:r>
      <w:r>
        <w:rPr>
          <w:rFonts w:hint="eastAsia" w:cs="宋体"/>
          <w:sz w:val="24"/>
          <w:szCs w:val="24"/>
        </w:rPr>
        <w:t>检验；异常值的取舍方法；</w:t>
      </w:r>
    </w:p>
    <w:p w14:paraId="5113F901">
      <w:pPr>
        <w:numPr>
          <w:ilvl w:val="0"/>
          <w:numId w:val="3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系统误差和随机误差的传递计算；</w:t>
      </w:r>
    </w:p>
    <w:p w14:paraId="4D073ED2">
      <w:pPr>
        <w:numPr>
          <w:ilvl w:val="0"/>
          <w:numId w:val="3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提高分析结果准确度的方法。</w:t>
      </w:r>
    </w:p>
    <w:p w14:paraId="1F278B1A">
      <w:pPr>
        <w:tabs>
          <w:tab w:val="left" w:pos="360"/>
        </w:tabs>
        <w:spacing w:before="46" w:beforeLines="15"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第五章 酸碱滴定法</w:t>
      </w:r>
    </w:p>
    <w:p w14:paraId="6E7DF84D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活度、浓度与平衡常数，酸碱质子理论；</w:t>
      </w:r>
      <w:r>
        <w:rPr>
          <w:sz w:val="24"/>
          <w:szCs w:val="24"/>
        </w:rPr>
        <w:t xml:space="preserve"> </w:t>
      </w:r>
    </w:p>
    <w:p w14:paraId="1F91983D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酸碱的离解平衡，酸碱水溶液物料平衡、电荷平衡和质子平衡方程；</w:t>
      </w:r>
    </w:p>
    <w:p w14:paraId="0B95CC48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酸碱平衡体系中各型体组份浓度及分布分数的计算；</w:t>
      </w:r>
    </w:p>
    <w:p w14:paraId="7450AC15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酸碱平衡中溶液</w:t>
      </w:r>
      <w:r>
        <w:rPr>
          <w:sz w:val="24"/>
          <w:szCs w:val="24"/>
        </w:rPr>
        <w:t>pH</w:t>
      </w:r>
      <w:r>
        <w:rPr>
          <w:rFonts w:hint="eastAsia" w:cs="宋体"/>
          <w:sz w:val="24"/>
          <w:szCs w:val="24"/>
        </w:rPr>
        <w:t>的计算方法，包括强酸（碱）溶液、一元和多元弱酸</w:t>
      </w:r>
      <w:r>
        <w:rPr>
          <w:sz w:val="24"/>
          <w:szCs w:val="24"/>
        </w:rPr>
        <w:t>(</w:t>
      </w:r>
      <w:r>
        <w:rPr>
          <w:rFonts w:hint="eastAsia" w:cs="宋体"/>
          <w:sz w:val="24"/>
          <w:szCs w:val="24"/>
        </w:rPr>
        <w:t>碱</w:t>
      </w:r>
      <w:r>
        <w:rPr>
          <w:sz w:val="24"/>
          <w:szCs w:val="24"/>
        </w:rPr>
        <w:t>)</w:t>
      </w:r>
      <w:r>
        <w:rPr>
          <w:rFonts w:hint="eastAsia" w:cs="宋体"/>
          <w:sz w:val="24"/>
          <w:szCs w:val="24"/>
        </w:rPr>
        <w:t>、混合酸溶液、两性物质溶液和酸碱缓冲溶液的</w:t>
      </w:r>
      <w:bookmarkStart w:id="1" w:name="OLE_LINK65"/>
      <w:r>
        <w:rPr>
          <w:sz w:val="24"/>
          <w:szCs w:val="24"/>
        </w:rPr>
        <w:t>pH</w:t>
      </w:r>
      <w:bookmarkEnd w:id="1"/>
      <w:r>
        <w:rPr>
          <w:rFonts w:hint="eastAsia" w:cs="宋体"/>
          <w:sz w:val="24"/>
          <w:szCs w:val="24"/>
        </w:rPr>
        <w:t>计算；</w:t>
      </w:r>
    </w:p>
    <w:p w14:paraId="74B2AEC3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缓冲溶液的作用原理及种类，缓冲容量的计算；有效缓冲范围；几种常用的缓冲溶液的配制和应用；</w:t>
      </w:r>
    </w:p>
    <w:p w14:paraId="61E77A15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指示剂的变色原理及选择原则；常用指示剂的变色范围及终点变化情况；</w:t>
      </w:r>
    </w:p>
    <w:p w14:paraId="417CE952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ind w:left="0" w:firstLine="0"/>
        <w:rPr>
          <w:rFonts w:hint="eastAsia"/>
          <w:sz w:val="24"/>
          <w:szCs w:val="24"/>
        </w:rPr>
      </w:pPr>
      <w:r>
        <w:rPr>
          <w:rFonts w:hint="eastAsia" w:cs="宋体"/>
          <w:sz w:val="24"/>
          <w:szCs w:val="24"/>
        </w:rPr>
        <w:t>酸碱滴定过程中氢离子浓度的变化规律，化学计量点、滴定突跃、滴定终点的含义、指示剂的选择；酸碱直接准确滴定、多元酸分步滴定的判别式；</w:t>
      </w:r>
    </w:p>
    <w:p w14:paraId="5574EA0D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酸碱滴定中二氧化碳的影响；酸碱滴定的终点误差；</w:t>
      </w:r>
    </w:p>
    <w:p w14:paraId="61954620">
      <w:pPr>
        <w:numPr>
          <w:ilvl w:val="0"/>
          <w:numId w:val="4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酸碱滴定分析结果的计算及酸碱滴定法的应用。</w:t>
      </w:r>
    </w:p>
    <w:p w14:paraId="5DCF1932">
      <w:pPr>
        <w:tabs>
          <w:tab w:val="left" w:pos="360"/>
        </w:tabs>
        <w:spacing w:before="46" w:beforeLines="15"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第六章 络合滴定法</w:t>
      </w:r>
    </w:p>
    <w:p w14:paraId="0A909A62">
      <w:pPr>
        <w:numPr>
          <w:ilvl w:val="0"/>
          <w:numId w:val="5"/>
        </w:numPr>
        <w:tabs>
          <w:tab w:val="left" w:pos="360"/>
        </w:tabs>
        <w:spacing w:before="46" w:beforeLines="15" w:line="360" w:lineRule="auto"/>
        <w:ind w:left="0" w:firstLine="0"/>
        <w:rPr>
          <w:rFonts w:hint="eastAsia"/>
          <w:sz w:val="24"/>
          <w:szCs w:val="24"/>
        </w:rPr>
      </w:pPr>
      <w:r>
        <w:rPr>
          <w:rFonts w:hint="eastAsia" w:cs="宋体"/>
          <w:sz w:val="24"/>
          <w:szCs w:val="24"/>
        </w:rPr>
        <w:t>分析化学中的络合物：简单络合物与螯合物；</w:t>
      </w:r>
      <w:r>
        <w:rPr>
          <w:sz w:val="24"/>
          <w:szCs w:val="24"/>
        </w:rPr>
        <w:t>EDTA</w:t>
      </w:r>
      <w:r>
        <w:rPr>
          <w:rFonts w:hint="eastAsia" w:cs="宋体"/>
          <w:sz w:val="24"/>
          <w:szCs w:val="24"/>
        </w:rPr>
        <w:t>及其络合物；络合物溶液中的离解平衡。</w:t>
      </w:r>
    </w:p>
    <w:p w14:paraId="08861020">
      <w:pPr>
        <w:numPr>
          <w:ilvl w:val="0"/>
          <w:numId w:val="5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络合物的稳定常数：络合物的逐级平衡常数和累积稳定常数；溶液中各级络合物的分布；</w:t>
      </w:r>
    </w:p>
    <w:p w14:paraId="36FA3EA0">
      <w:pPr>
        <w:numPr>
          <w:ilvl w:val="0"/>
          <w:numId w:val="5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络合平衡中的副反应系数和条件稳定常数的计算；</w:t>
      </w:r>
    </w:p>
    <w:p w14:paraId="4042B3F2">
      <w:pPr>
        <w:numPr>
          <w:ilvl w:val="0"/>
          <w:numId w:val="5"/>
        </w:numPr>
        <w:tabs>
          <w:tab w:val="left" w:pos="360"/>
        </w:tabs>
        <w:spacing w:before="46" w:beforeLines="15" w:line="360" w:lineRule="auto"/>
        <w:ind w:left="0" w:firstLine="0"/>
        <w:rPr>
          <w:rFonts w:hint="eastAsia"/>
          <w:sz w:val="24"/>
          <w:szCs w:val="24"/>
        </w:rPr>
      </w:pPr>
      <w:r>
        <w:rPr>
          <w:rFonts w:hint="eastAsia" w:cs="宋体"/>
          <w:sz w:val="24"/>
          <w:szCs w:val="24"/>
        </w:rPr>
        <w:t>络合滴定基本原理：化学计量点</w:t>
      </w:r>
      <w:r>
        <w:rPr>
          <w:sz w:val="24"/>
          <w:szCs w:val="24"/>
        </w:rPr>
        <w:t>pM</w:t>
      </w:r>
      <w:r>
        <w:rPr>
          <w:rFonts w:hint="eastAsia" w:cs="宋体"/>
          <w:sz w:val="24"/>
          <w:szCs w:val="24"/>
        </w:rPr>
        <w:t>计算，影响滴定突跃大小的因素，终点误差，准确滴定与分步滴定判别式；</w:t>
      </w:r>
    </w:p>
    <w:p w14:paraId="5AD86794">
      <w:pPr>
        <w:numPr>
          <w:ilvl w:val="0"/>
          <w:numId w:val="5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金属离子指示剂的作用原理及选择原则，常用的指示剂，指示剂的封闭与僵化；</w:t>
      </w:r>
    </w:p>
    <w:p w14:paraId="2103BF1C">
      <w:pPr>
        <w:numPr>
          <w:ilvl w:val="0"/>
          <w:numId w:val="5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络合滴定中的酸度控制：单一离子滴定的适宜酸度范围，分别滴定的酸度控制；</w:t>
      </w:r>
    </w:p>
    <w:p w14:paraId="47A241D0">
      <w:pPr>
        <w:numPr>
          <w:ilvl w:val="0"/>
          <w:numId w:val="5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提高络合滴定的选择性的方法，选择滴定的可能性、酸度控制，掩蔽与解蔽，络合滴定终点误差的计算；</w:t>
      </w:r>
    </w:p>
    <w:p w14:paraId="60EF834D">
      <w:pPr>
        <w:numPr>
          <w:ilvl w:val="0"/>
          <w:numId w:val="5"/>
        </w:num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掌握络合滴定的方式及其应用和结果的计算</w:t>
      </w:r>
      <w:r>
        <w:rPr>
          <w:rFonts w:hint="eastAsia" w:hAnsi="宋体"/>
          <w:sz w:val="24"/>
          <w:szCs w:val="24"/>
        </w:rPr>
        <w:t>。</w:t>
      </w:r>
    </w:p>
    <w:p w14:paraId="1D5E9541">
      <w:pPr>
        <w:tabs>
          <w:tab w:val="left" w:pos="360"/>
        </w:tabs>
        <w:spacing w:before="46" w:beforeLines="15"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第七章 氧化还原滴定法</w:t>
      </w:r>
    </w:p>
    <w:p w14:paraId="3CC5DA83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/>
          <w:sz w:val="24"/>
          <w:szCs w:val="24"/>
        </w:rPr>
        <w:t>氧化还原平衡：能斯特方程，氧化还原反应的平衡常数，条件电位；</w:t>
      </w:r>
    </w:p>
    <w:p w14:paraId="04F3ED79">
      <w:p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sz w:val="24"/>
          <w:szCs w:val="24"/>
        </w:rPr>
        <w:t xml:space="preserve"> 氧化还原反应的方向、次序和程度，氧化还原反应的速度及其影响因素，催化反应和诱导反应；</w:t>
      </w:r>
    </w:p>
    <w:p w14:paraId="10D21A32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sz w:val="24"/>
          <w:szCs w:val="24"/>
        </w:rPr>
        <w:t xml:space="preserve"> 氧化还原滴定法的基本原理：可逆对称氧化还原滴定曲线；不可逆体系的滴定曲线；等当点电位的计算；氧化还原滴定指示剂；</w:t>
      </w:r>
    </w:p>
    <w:p w14:paraId="2A9F5DE8">
      <w:p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sz w:val="24"/>
          <w:szCs w:val="24"/>
        </w:rPr>
        <w:t xml:space="preserve"> 氧化还原滴定结果的计算：用物质的量的关系处理比较复杂的氧化还原测定的计算问题，包括多组分体系和有机物的测定计算；终点误差；</w:t>
      </w:r>
    </w:p>
    <w:p w14:paraId="5A7C895A">
      <w:pPr>
        <w:tabs>
          <w:tab w:val="left" w:pos="360"/>
        </w:tabs>
        <w:spacing w:before="46" w:beforeLines="15" w:line="360" w:lineRule="auto"/>
        <w:ind w:right="-60"/>
        <w:rPr>
          <w:sz w:val="24"/>
          <w:szCs w:val="24"/>
        </w:rPr>
      </w:pPr>
      <w:r>
        <w:rPr>
          <w:rFonts w:hint="eastAsia"/>
          <w:sz w:val="24"/>
          <w:szCs w:val="24"/>
        </w:rPr>
        <w:t>5. 氧化还原滴定法的应用：高锰酸钾法、重铬酸钾法、碘量法、溴酸钾法和铈量法的原理和应用；不同氧化还原滴定法标准溶液在配制、标定及滴定过程中应注意的问题。</w:t>
      </w:r>
    </w:p>
    <w:p w14:paraId="7AA8D4A3">
      <w:pPr>
        <w:tabs>
          <w:tab w:val="left" w:pos="360"/>
        </w:tabs>
        <w:spacing w:before="46" w:beforeLines="15"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第八／九章 重量分析法与沉淀滴定法</w:t>
      </w:r>
    </w:p>
    <w:p w14:paraId="236BB49A">
      <w:pPr>
        <w:numPr>
          <w:ilvl w:val="0"/>
          <w:numId w:val="6"/>
        </w:numPr>
        <w:tabs>
          <w:tab w:val="left" w:pos="360"/>
        </w:tabs>
        <w:spacing w:before="46" w:beforeLines="15" w:line="360" w:lineRule="auto"/>
        <w:ind w:left="0" w:firstLine="0"/>
        <w:rPr>
          <w:rFonts w:hint="eastAsia"/>
          <w:sz w:val="24"/>
          <w:szCs w:val="24"/>
        </w:rPr>
      </w:pPr>
      <w:r>
        <w:rPr>
          <w:rFonts w:hint="eastAsia" w:cs="宋体"/>
          <w:sz w:val="24"/>
          <w:szCs w:val="24"/>
        </w:rPr>
        <w:t>沉淀滴定法：莫尔法，佛尔哈德法和法扬司法；各种方法的基本原理、滴定条件、指示剂及其应用；</w:t>
      </w:r>
    </w:p>
    <w:p w14:paraId="374DAEE6">
      <w:pPr>
        <w:numPr>
          <w:ilvl w:val="0"/>
          <w:numId w:val="6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重量分析的基本概念，溶度积与条件溶度积，沉淀的溶解度的计算及影响沉淀溶解度的因素；</w:t>
      </w:r>
    </w:p>
    <w:p w14:paraId="247A1FA4">
      <w:pPr>
        <w:numPr>
          <w:ilvl w:val="0"/>
          <w:numId w:val="6"/>
        </w:numPr>
        <w:tabs>
          <w:tab w:val="left" w:pos="36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沉淀的类型、形成过程及影响沉淀纯度的因素；沉淀条件的选择；均匀沉淀法；</w:t>
      </w:r>
    </w:p>
    <w:p w14:paraId="5E89FF85">
      <w:pPr>
        <w:numPr>
          <w:ilvl w:val="0"/>
          <w:numId w:val="6"/>
        </w:numPr>
        <w:tabs>
          <w:tab w:val="left" w:pos="360"/>
        </w:tabs>
        <w:spacing w:before="46" w:beforeLines="15" w:line="360" w:lineRule="auto"/>
        <w:ind w:hangingChars="175"/>
        <w:rPr>
          <w:sz w:val="24"/>
          <w:szCs w:val="24"/>
        </w:rPr>
      </w:pPr>
      <w:r>
        <w:rPr>
          <w:rFonts w:hint="eastAsia"/>
          <w:sz w:val="24"/>
          <w:szCs w:val="24"/>
        </w:rPr>
        <w:t>掌握重量分析结果计算。</w:t>
      </w:r>
    </w:p>
    <w:p w14:paraId="122F32B9">
      <w:pPr>
        <w:tabs>
          <w:tab w:val="left" w:pos="360"/>
        </w:tabs>
        <w:spacing w:before="46" w:beforeLines="15"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第十章 吸光光度法</w:t>
      </w:r>
    </w:p>
    <w:p w14:paraId="6FC305C4">
      <w:p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/>
          <w:sz w:val="24"/>
          <w:szCs w:val="24"/>
        </w:rPr>
        <w:t>光吸收的基本定律：光的基本性质，吸收光谱的产生，朗伯</w:t>
      </w:r>
      <w:r>
        <w:rPr>
          <w:sz w:val="24"/>
          <w:szCs w:val="24"/>
        </w:rPr>
        <w:t>-</w:t>
      </w:r>
      <w:r>
        <w:rPr>
          <w:rFonts w:hint="eastAsia"/>
          <w:sz w:val="24"/>
          <w:szCs w:val="24"/>
        </w:rPr>
        <w:t>比耳定律及其偏离的原因，吸光度的加和性；吸光光度法及其仪器；</w:t>
      </w:r>
    </w:p>
    <w:p w14:paraId="0AC6AACC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sz w:val="24"/>
          <w:szCs w:val="24"/>
        </w:rPr>
        <w:t xml:space="preserve"> 显色反应的要求；显色条件的选择；测量波长和吸光度范围的选择；参比溶液的选择；</w:t>
      </w:r>
    </w:p>
    <w:p w14:paraId="2862E32D">
      <w:p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/>
          <w:sz w:val="24"/>
          <w:szCs w:val="24"/>
        </w:rPr>
        <w:t>光度分析法的误差：吸光度测量的误差；仪器测量误差，测量条件的选择；</w:t>
      </w:r>
    </w:p>
    <w:p w14:paraId="63AC1D3E">
      <w:pPr>
        <w:tabs>
          <w:tab w:val="left" w:pos="36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rFonts w:hint="eastAsia"/>
          <w:sz w:val="24"/>
          <w:szCs w:val="24"/>
        </w:rPr>
        <w:t>其它吸光光度法和光度分析法的应用：示差光度法；双波长分光光度法；多组分分析；弱酸弱碱条件常数的测定；络合物的组成测定；稳定常数的测定；光度滴定法。</w:t>
      </w:r>
    </w:p>
    <w:p w14:paraId="242F59D8">
      <w:pPr>
        <w:tabs>
          <w:tab w:val="left" w:pos="360"/>
        </w:tabs>
        <w:spacing w:before="46" w:beforeLines="15"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第十一章 分析化学中常用的分离和富集方法</w:t>
      </w:r>
    </w:p>
    <w:p w14:paraId="5D1093E8">
      <w:pPr>
        <w:numPr>
          <w:ilvl w:val="0"/>
          <w:numId w:val="7"/>
        </w:numPr>
        <w:tabs>
          <w:tab w:val="left" w:pos="360"/>
        </w:tabs>
        <w:spacing w:before="46" w:beforeLines="15" w:line="360" w:lineRule="auto"/>
        <w:ind w:left="0" w:firstLine="0"/>
        <w:rPr>
          <w:rFonts w:eastAsia="楷体_GB2312"/>
          <w:b/>
          <w:bCs/>
          <w:sz w:val="28"/>
          <w:szCs w:val="28"/>
        </w:rPr>
      </w:pPr>
      <w:r>
        <w:rPr>
          <w:rFonts w:hint="eastAsia" w:cs="宋体"/>
          <w:sz w:val="24"/>
          <w:szCs w:val="24"/>
        </w:rPr>
        <w:t>分析化学中常用的富集分离方法：沉淀分离与共沉淀分离、溶剂萃取分离、离子交换分离、液相色谱分离的基本原理；</w:t>
      </w:r>
    </w:p>
    <w:p w14:paraId="11D4FD18">
      <w:pPr>
        <w:numPr>
          <w:ilvl w:val="0"/>
          <w:numId w:val="7"/>
        </w:numPr>
        <w:tabs>
          <w:tab w:val="left" w:pos="360"/>
        </w:tabs>
        <w:spacing w:line="360" w:lineRule="auto"/>
        <w:ind w:left="0" w:firstLine="0"/>
        <w:rPr>
          <w:rFonts w:eastAsia="楷体_GB2312"/>
          <w:b/>
          <w:bCs/>
          <w:sz w:val="28"/>
          <w:szCs w:val="28"/>
        </w:rPr>
      </w:pPr>
      <w:r>
        <w:rPr>
          <w:rFonts w:hint="eastAsia"/>
          <w:sz w:val="24"/>
          <w:szCs w:val="24"/>
        </w:rPr>
        <w:t>萃取条件的选择及主要的萃取体系，掌握液液萃取分离的基本参数及有关计算。</w:t>
      </w:r>
    </w:p>
    <w:p w14:paraId="5B7BA620">
      <w:pPr>
        <w:tabs>
          <w:tab w:val="left" w:pos="360"/>
        </w:tabs>
        <w:spacing w:before="46" w:beforeLines="15" w:line="360" w:lineRule="auto"/>
        <w:rPr>
          <w:rFonts w:hint="eastAsia" w:cs="宋体"/>
          <w:b/>
          <w:bCs/>
          <w:sz w:val="24"/>
          <w:szCs w:val="24"/>
        </w:rPr>
      </w:pPr>
    </w:p>
    <w:p w14:paraId="27714DFE">
      <w:pPr>
        <w:tabs>
          <w:tab w:val="left" w:pos="360"/>
        </w:tabs>
        <w:spacing w:before="46" w:beforeLines="15" w:line="360" w:lineRule="auto"/>
        <w:rPr>
          <w:rFonts w:eastAsia="楷体_GB2312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  <w:szCs w:val="24"/>
        </w:rPr>
        <w:t>《仪器分析》部分（</w:t>
      </w:r>
      <w:r>
        <w:rPr>
          <w:rFonts w:cs="宋体"/>
          <w:b/>
          <w:bCs/>
          <w:sz w:val="24"/>
          <w:szCs w:val="24"/>
        </w:rPr>
        <w:t>60%</w:t>
      </w:r>
      <w:r>
        <w:rPr>
          <w:rFonts w:hint="eastAsia" w:cs="宋体"/>
          <w:b/>
          <w:bCs/>
          <w:sz w:val="24"/>
          <w:szCs w:val="24"/>
        </w:rPr>
        <w:t>）</w:t>
      </w:r>
    </w:p>
    <w:p w14:paraId="28CB006E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第一章 绪论</w:t>
      </w:r>
    </w:p>
    <w:p w14:paraId="133D4ACD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仪器分析与化学分析的区别、关系；</w:t>
      </w:r>
    </w:p>
    <w:p w14:paraId="1E1E01D0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rFonts w:hint="eastAsia" w:cs="宋体"/>
          <w:sz w:val="24"/>
          <w:szCs w:val="24"/>
        </w:rPr>
        <w:t>仪器分析方法概述及分类；</w:t>
      </w:r>
    </w:p>
    <w:p w14:paraId="674AE397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仪器分析的特点及发展趋势；</w:t>
      </w:r>
    </w:p>
    <w:p w14:paraId="01CBEC2D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rFonts w:hint="eastAsia" w:cs="宋体"/>
          <w:sz w:val="24"/>
          <w:szCs w:val="24"/>
        </w:rPr>
        <w:t>仪器性能及其表征参数。</w:t>
      </w:r>
    </w:p>
    <w:p w14:paraId="4A2D4595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第二章 光分析法导论</w:t>
      </w:r>
    </w:p>
    <w:p w14:paraId="5A4ACC54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光的波动性；</w:t>
      </w:r>
    </w:p>
    <w:p w14:paraId="111AB338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rFonts w:hint="eastAsia" w:cs="宋体"/>
          <w:sz w:val="24"/>
          <w:szCs w:val="24"/>
        </w:rPr>
        <w:t>光的粒子性：普朗克公式；</w:t>
      </w:r>
    </w:p>
    <w:p w14:paraId="68D390DD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电磁辐射；</w:t>
      </w:r>
    </w:p>
    <w:p w14:paraId="3E39B5AF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rFonts w:hint="eastAsia" w:cs="宋体"/>
          <w:sz w:val="24"/>
          <w:szCs w:val="24"/>
        </w:rPr>
        <w:t>光谱仪器的构造：光源、波长选择器（类型、棱镜和光栅的分光原理和光学特性）、检测器。</w:t>
      </w:r>
    </w:p>
    <w:p w14:paraId="0CE7624F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第三章 原子光谱法导论</w:t>
      </w:r>
    </w:p>
    <w:p w14:paraId="3F389BE5">
      <w:pPr>
        <w:numPr>
          <w:ilvl w:val="0"/>
          <w:numId w:val="8"/>
        </w:numPr>
        <w:tabs>
          <w:tab w:val="left" w:pos="0"/>
          <w:tab w:val="left" w:pos="18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 原子光谱：产生和分类；</w:t>
      </w:r>
    </w:p>
    <w:p w14:paraId="22937ECE">
      <w:pPr>
        <w:numPr>
          <w:ilvl w:val="0"/>
          <w:numId w:val="8"/>
        </w:numPr>
        <w:tabs>
          <w:tab w:val="left" w:pos="0"/>
          <w:tab w:val="left" w:pos="18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 谱线轮廓及变宽；</w:t>
      </w:r>
    </w:p>
    <w:p w14:paraId="427A7F44">
      <w:pPr>
        <w:numPr>
          <w:ilvl w:val="0"/>
          <w:numId w:val="8"/>
        </w:numPr>
        <w:tabs>
          <w:tab w:val="left" w:pos="0"/>
          <w:tab w:val="left" w:pos="18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 温度对原子光谱的影响；</w:t>
      </w:r>
    </w:p>
    <w:p w14:paraId="20BDB260">
      <w:pPr>
        <w:numPr>
          <w:ilvl w:val="0"/>
          <w:numId w:val="8"/>
        </w:numPr>
        <w:tabs>
          <w:tab w:val="left" w:pos="0"/>
          <w:tab w:val="left" w:pos="18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 试样原子化和导入方法。</w:t>
      </w:r>
    </w:p>
    <w:p w14:paraId="39215E85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第四章 原子吸收光谱法（AAS）</w:t>
      </w:r>
    </w:p>
    <w:p w14:paraId="6F56B061">
      <w:pPr>
        <w:numPr>
          <w:ilvl w:val="0"/>
          <w:numId w:val="9"/>
        </w:numPr>
        <w:tabs>
          <w:tab w:val="left" w:pos="0"/>
          <w:tab w:val="left" w:pos="18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AAS</w:t>
      </w:r>
      <w:r>
        <w:rPr>
          <w:rFonts w:hint="eastAsia" w:cs="宋体"/>
          <w:sz w:val="24"/>
          <w:szCs w:val="24"/>
        </w:rPr>
        <w:t>基本原理：原子吸收测量方法；</w:t>
      </w:r>
    </w:p>
    <w:p w14:paraId="0157A7C5">
      <w:pPr>
        <w:numPr>
          <w:ilvl w:val="0"/>
          <w:numId w:val="9"/>
        </w:numPr>
        <w:tabs>
          <w:tab w:val="left" w:pos="0"/>
          <w:tab w:val="left" w:pos="18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AAS</w:t>
      </w:r>
      <w:r>
        <w:rPr>
          <w:rFonts w:hint="eastAsia" w:cs="宋体"/>
          <w:sz w:val="24"/>
          <w:szCs w:val="24"/>
        </w:rPr>
        <w:t>仪器：基本结构、各部分的作用。空心阴极灯；原子化器：火焰、无火焰原子化器的原理、特点、比较；分光系统：光谱通带；</w:t>
      </w:r>
    </w:p>
    <w:p w14:paraId="0FBFCA95">
      <w:pPr>
        <w:numPr>
          <w:ilvl w:val="0"/>
          <w:numId w:val="9"/>
        </w:numPr>
        <w:tabs>
          <w:tab w:val="left" w:pos="0"/>
          <w:tab w:val="left" w:pos="180"/>
        </w:tabs>
        <w:spacing w:before="46" w:beforeLines="15" w:line="360" w:lineRule="auto"/>
        <w:ind w:left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AAS</w:t>
      </w:r>
      <w:r>
        <w:rPr>
          <w:rFonts w:hint="eastAsia" w:cs="宋体"/>
          <w:sz w:val="24"/>
          <w:szCs w:val="24"/>
        </w:rPr>
        <w:t>干扰及消除：光谱干扰：谱线干扰、背景干扰；非光谱干扰：物理干扰、化学干扰、电离干扰；</w:t>
      </w:r>
    </w:p>
    <w:p w14:paraId="17C3E1CE">
      <w:pPr>
        <w:numPr>
          <w:ilvl w:val="0"/>
          <w:numId w:val="9"/>
        </w:numPr>
        <w:tabs>
          <w:tab w:val="left" w:pos="0"/>
          <w:tab w:val="left" w:pos="18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 背景吸收及校正方法；</w:t>
      </w:r>
    </w:p>
    <w:p w14:paraId="306E1095">
      <w:pPr>
        <w:numPr>
          <w:ilvl w:val="0"/>
          <w:numId w:val="9"/>
        </w:numPr>
        <w:tabs>
          <w:tab w:val="left" w:pos="0"/>
          <w:tab w:val="left" w:pos="18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AAS</w:t>
      </w:r>
      <w:r>
        <w:rPr>
          <w:rFonts w:hint="eastAsia" w:cs="宋体"/>
          <w:sz w:val="24"/>
          <w:szCs w:val="24"/>
        </w:rPr>
        <w:t>定量分析：分析方法、灵敏度、检测限；应用；</w:t>
      </w:r>
    </w:p>
    <w:p w14:paraId="1BC7A178">
      <w:pPr>
        <w:numPr>
          <w:ilvl w:val="0"/>
          <w:numId w:val="9"/>
        </w:numPr>
        <w:tabs>
          <w:tab w:val="left" w:pos="0"/>
          <w:tab w:val="left" w:pos="18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 原子荧光（</w:t>
      </w:r>
      <w:r>
        <w:rPr>
          <w:sz w:val="24"/>
          <w:szCs w:val="24"/>
        </w:rPr>
        <w:t>AFS</w:t>
      </w:r>
      <w:r>
        <w:rPr>
          <w:rFonts w:hint="eastAsia" w:cs="宋体"/>
          <w:sz w:val="24"/>
          <w:szCs w:val="24"/>
        </w:rPr>
        <w:t>）：</w:t>
      </w:r>
      <w:r>
        <w:rPr>
          <w:sz w:val="24"/>
          <w:szCs w:val="24"/>
        </w:rPr>
        <w:t>AFS</w:t>
      </w:r>
      <w:r>
        <w:rPr>
          <w:rFonts w:hint="eastAsia" w:cs="宋体"/>
          <w:sz w:val="24"/>
          <w:szCs w:val="24"/>
        </w:rPr>
        <w:t>产生、仪器基本结构及特点；应用。</w:t>
      </w:r>
    </w:p>
    <w:p w14:paraId="3E97004F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第五章 原子发射光谱法（AES）</w:t>
      </w:r>
    </w:p>
    <w:p w14:paraId="08C1A0C0">
      <w:pPr>
        <w:numPr>
          <w:ilvl w:val="0"/>
          <w:numId w:val="10"/>
        </w:numPr>
        <w:tabs>
          <w:tab w:val="left" w:pos="0"/>
          <w:tab w:val="left" w:pos="180"/>
          <w:tab w:val="left" w:pos="360"/>
        </w:tabs>
        <w:spacing w:before="46" w:beforeLines="15" w:line="360" w:lineRule="auto"/>
        <w:ind w:hanging="780" w:hangingChars="3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AES</w:t>
      </w:r>
      <w:r>
        <w:rPr>
          <w:rFonts w:hint="eastAsia" w:cs="宋体"/>
          <w:sz w:val="24"/>
          <w:szCs w:val="24"/>
        </w:rPr>
        <w:t>的产生；</w:t>
      </w:r>
    </w:p>
    <w:p w14:paraId="6811BF1A">
      <w:pPr>
        <w:numPr>
          <w:ilvl w:val="0"/>
          <w:numId w:val="10"/>
        </w:numPr>
        <w:tabs>
          <w:tab w:val="left" w:pos="0"/>
          <w:tab w:val="left" w:pos="180"/>
          <w:tab w:val="left" w:pos="360"/>
        </w:tabs>
        <w:spacing w:before="46" w:beforeLines="15" w:line="360" w:lineRule="auto"/>
        <w:ind w:hanging="780" w:hangingChars="3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AES</w:t>
      </w:r>
      <w:r>
        <w:rPr>
          <w:rFonts w:hint="eastAsia" w:cs="宋体"/>
          <w:sz w:val="24"/>
          <w:szCs w:val="24"/>
        </w:rPr>
        <w:t>仪器：基本结构、各部分的作用；常用的激发光源的原理和特点；</w:t>
      </w:r>
    </w:p>
    <w:p w14:paraId="17175509">
      <w:pPr>
        <w:numPr>
          <w:ilvl w:val="0"/>
          <w:numId w:val="10"/>
        </w:numPr>
        <w:tabs>
          <w:tab w:val="left" w:pos="0"/>
          <w:tab w:val="left" w:pos="180"/>
          <w:tab w:val="left" w:pos="360"/>
          <w:tab w:val="left" w:pos="720"/>
        </w:tabs>
        <w:spacing w:before="46" w:beforeLines="15" w:line="360" w:lineRule="auto"/>
        <w:ind w:hanging="780" w:hangingChars="325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 光谱定性分析：基本原理、常用方法；</w:t>
      </w:r>
    </w:p>
    <w:p w14:paraId="4F5DE8FA">
      <w:pPr>
        <w:numPr>
          <w:ilvl w:val="0"/>
          <w:numId w:val="10"/>
        </w:numPr>
        <w:tabs>
          <w:tab w:val="left" w:pos="0"/>
          <w:tab w:val="left" w:pos="180"/>
          <w:tab w:val="left" w:pos="360"/>
          <w:tab w:val="left" w:pos="720"/>
        </w:tabs>
        <w:spacing w:before="46" w:beforeLines="15" w:line="360" w:lineRule="auto"/>
        <w:ind w:hanging="780" w:hangingChars="325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 光谱定量分析：赛伯</w:t>
      </w:r>
      <w:r>
        <w:rPr>
          <w:sz w:val="24"/>
          <w:szCs w:val="24"/>
        </w:rPr>
        <w:t>•</w:t>
      </w:r>
      <w:r>
        <w:rPr>
          <w:rFonts w:hint="eastAsia" w:cs="宋体"/>
          <w:sz w:val="24"/>
          <w:szCs w:val="24"/>
        </w:rPr>
        <w:t>罗马金公式、内标法的原理、常用光谱定量分析方法。</w:t>
      </w:r>
    </w:p>
    <w:p w14:paraId="4E6A3976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第六章 紫外-可见分光光谱法</w:t>
      </w:r>
    </w:p>
    <w:p w14:paraId="0FAD6731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分子吸收光谱概述：分子光谱的产生、有机分子中的电子跃迁类型、常见有机化合物的紫外</w:t>
      </w:r>
      <w:r>
        <w:rPr>
          <w:sz w:val="24"/>
          <w:szCs w:val="24"/>
        </w:rPr>
        <w:t>-</w:t>
      </w:r>
      <w:r>
        <w:rPr>
          <w:rFonts w:hint="eastAsia" w:cs="宋体"/>
          <w:sz w:val="24"/>
          <w:szCs w:val="24"/>
        </w:rPr>
        <w:t>可见吸收光谱；</w:t>
      </w:r>
    </w:p>
    <w:p w14:paraId="40C998C1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紫外</w:t>
      </w:r>
      <w:r>
        <w:rPr>
          <w:sz w:val="24"/>
          <w:szCs w:val="24"/>
        </w:rPr>
        <w:t>-</w:t>
      </w:r>
      <w:r>
        <w:rPr>
          <w:rFonts w:hint="eastAsia" w:cs="宋体"/>
          <w:sz w:val="24"/>
          <w:szCs w:val="24"/>
        </w:rPr>
        <w:t>可见分光光度计：基本结构及各部分作用；</w:t>
      </w:r>
    </w:p>
    <w:p w14:paraId="525A5777">
      <w:pPr>
        <w:tabs>
          <w:tab w:val="left" w:pos="0"/>
          <w:tab w:val="left" w:pos="1440"/>
        </w:tabs>
        <w:spacing w:before="46" w:beforeLines="15" w:line="360" w:lineRule="auto"/>
        <w:rPr>
          <w:rFonts w:cs="宋体"/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紫外</w:t>
      </w:r>
      <w:r>
        <w:rPr>
          <w:sz w:val="24"/>
          <w:szCs w:val="24"/>
        </w:rPr>
        <w:t>-</w:t>
      </w:r>
      <w:r>
        <w:rPr>
          <w:rFonts w:hint="eastAsia" w:cs="宋体"/>
          <w:sz w:val="24"/>
          <w:szCs w:val="24"/>
        </w:rPr>
        <w:t>可见分光光度法的分析应用：定量分析、溶剂效应、</w:t>
      </w:r>
      <w:r>
        <w:rPr>
          <w:rFonts w:cs="宋体"/>
          <w:sz w:val="24"/>
          <w:szCs w:val="24"/>
        </w:rPr>
        <w:t>紫外光谱的解析及应用</w:t>
      </w:r>
      <w:r>
        <w:rPr>
          <w:rFonts w:hint="eastAsia" w:cs="宋体"/>
          <w:sz w:val="24"/>
          <w:szCs w:val="24"/>
        </w:rPr>
        <w:t>。</w:t>
      </w:r>
    </w:p>
    <w:p w14:paraId="255BAAF0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第七章 分子发光光谱法</w:t>
      </w:r>
    </w:p>
    <w:p w14:paraId="6ED084B4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1. 荧光及磷光光谱法：荧光及磷光的产生过程、能量传递方式；激发光谱和发射光谱；影响</w:t>
      </w:r>
      <w:r>
        <w:rPr>
          <w:sz w:val="24"/>
          <w:szCs w:val="24"/>
        </w:rPr>
        <w:t>If</w:t>
      </w:r>
      <w:r>
        <w:rPr>
          <w:rFonts w:hint="eastAsia" w:cs="宋体"/>
          <w:sz w:val="24"/>
          <w:szCs w:val="24"/>
        </w:rPr>
        <w:t>、</w:t>
      </w:r>
      <w:r>
        <w:rPr>
          <w:sz w:val="24"/>
          <w:szCs w:val="24"/>
        </w:rPr>
        <w:t>Ip</w:t>
      </w:r>
      <w:r>
        <w:rPr>
          <w:rFonts w:hint="eastAsia" w:cs="宋体"/>
          <w:sz w:val="24"/>
          <w:szCs w:val="24"/>
        </w:rPr>
        <w:t>的因素；仪器构造及其特点；分析应用；</w:t>
      </w:r>
    </w:p>
    <w:p w14:paraId="55F1D2FD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化学发光光谱法：化学发光产生的原理；仪器：流动注射式、流动注射分析法（</w:t>
      </w:r>
      <w:r>
        <w:rPr>
          <w:sz w:val="24"/>
          <w:szCs w:val="24"/>
        </w:rPr>
        <w:t>FIA</w:t>
      </w:r>
      <w:r>
        <w:rPr>
          <w:rFonts w:hint="eastAsia" w:cs="宋体"/>
          <w:sz w:val="24"/>
          <w:szCs w:val="24"/>
        </w:rPr>
        <w:t>）。</w:t>
      </w:r>
    </w:p>
    <w:p w14:paraId="713B4C31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第八章 红外吸收光谱法</w:t>
      </w:r>
    </w:p>
    <w:p w14:paraId="14C4A4E3">
      <w:pPr>
        <w:tabs>
          <w:tab w:val="left" w:pos="0"/>
        </w:tabs>
        <w:spacing w:before="46" w:beforeLines="15" w:line="360" w:lineRule="auto"/>
        <w:rPr>
          <w:rFonts w:hint="eastAsia" w:cs="宋体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红外吸收光谱法基本原理、红外光谱仪；</w:t>
      </w:r>
    </w:p>
    <w:p w14:paraId="31046859">
      <w:pPr>
        <w:tabs>
          <w:tab w:val="left" w:pos="0"/>
        </w:tabs>
        <w:spacing w:before="46" w:beforeLines="15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2. 有机化合物的红外吸收光谱；</w:t>
      </w:r>
    </w:p>
    <w:p w14:paraId="3865C854">
      <w:pPr>
        <w:tabs>
          <w:tab w:val="left" w:pos="0"/>
        </w:tabs>
        <w:spacing w:before="46" w:beforeLines="15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3. 影响红外光谱吸收的因素；</w:t>
      </w:r>
    </w:p>
    <w:p w14:paraId="1CB7C0FE">
      <w:pPr>
        <w:tabs>
          <w:tab w:val="left" w:pos="0"/>
        </w:tabs>
        <w:spacing w:before="46" w:beforeLines="15" w:line="360" w:lineRule="auto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4. 红外光谱的解析及应用</w:t>
      </w:r>
    </w:p>
    <w:p w14:paraId="171608DF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第九章 核磁共振波谱法</w:t>
      </w:r>
    </w:p>
    <w:p w14:paraId="440E8153">
      <w:pPr>
        <w:tabs>
          <w:tab w:val="left" w:pos="0"/>
          <w:tab w:val="left" w:pos="840"/>
        </w:tabs>
        <w:spacing w:before="46" w:beforeLines="15" w:line="360" w:lineRule="auto"/>
        <w:rPr>
          <w:rFonts w:hint="eastAsia" w:cs="宋体"/>
          <w:bCs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>1. 核磁共振波谱法的基本原理</w:t>
      </w:r>
    </w:p>
    <w:p w14:paraId="0DB3AA69">
      <w:pPr>
        <w:tabs>
          <w:tab w:val="left" w:pos="0"/>
          <w:tab w:val="left" w:pos="840"/>
        </w:tabs>
        <w:spacing w:before="46" w:beforeLines="15" w:line="360" w:lineRule="auto"/>
        <w:rPr>
          <w:rFonts w:hint="eastAsia" w:cs="宋体"/>
          <w:bCs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>2. 核磁共振波谱仪</w:t>
      </w:r>
    </w:p>
    <w:p w14:paraId="72DC9631">
      <w:pPr>
        <w:tabs>
          <w:tab w:val="left" w:pos="0"/>
          <w:tab w:val="left" w:pos="840"/>
        </w:tabs>
        <w:spacing w:before="46" w:beforeLines="15" w:line="360" w:lineRule="auto"/>
        <w:rPr>
          <w:rFonts w:cs="宋体"/>
          <w:bCs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 xml:space="preserve">3. </w:t>
      </w:r>
      <w:r>
        <w:rPr>
          <w:rFonts w:cs="宋体"/>
          <w:bCs/>
          <w:sz w:val="24"/>
          <w:szCs w:val="24"/>
        </w:rPr>
        <w:t>化学位移和核磁共振谱</w:t>
      </w:r>
      <w:r>
        <w:rPr>
          <w:rFonts w:hint="eastAsia" w:cs="宋体"/>
          <w:bCs/>
          <w:sz w:val="24"/>
          <w:szCs w:val="24"/>
        </w:rPr>
        <w:t>、</w:t>
      </w:r>
      <w:r>
        <w:rPr>
          <w:rFonts w:cs="宋体"/>
          <w:bCs/>
          <w:sz w:val="24"/>
          <w:szCs w:val="24"/>
        </w:rPr>
        <w:t>简单自旋偶合和自旋分裂</w:t>
      </w:r>
      <w:r>
        <w:rPr>
          <w:rFonts w:hint="eastAsia" w:cs="宋体"/>
          <w:bCs/>
          <w:sz w:val="24"/>
          <w:szCs w:val="24"/>
        </w:rPr>
        <w:t>、</w:t>
      </w:r>
      <w:r>
        <w:rPr>
          <w:rFonts w:cs="宋体"/>
          <w:bCs/>
          <w:sz w:val="24"/>
          <w:szCs w:val="24"/>
        </w:rPr>
        <w:t>复杂图谱的简化方法</w:t>
      </w:r>
    </w:p>
    <w:p w14:paraId="054DE6EE">
      <w:pPr>
        <w:tabs>
          <w:tab w:val="left" w:pos="0"/>
          <w:tab w:val="left" w:pos="840"/>
        </w:tabs>
        <w:spacing w:before="46" w:beforeLines="15" w:line="360" w:lineRule="auto"/>
        <w:rPr>
          <w:rFonts w:cs="宋体"/>
          <w:bCs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>4. 核磁共振谱的解析及应用</w:t>
      </w:r>
    </w:p>
    <w:p w14:paraId="51579781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第十章 电位分析法</w:t>
      </w:r>
    </w:p>
    <w:p w14:paraId="64B837CE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电分析化学基本概念；</w:t>
      </w:r>
    </w:p>
    <w:p w14:paraId="322091FC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离子选择电极的作用原理：离子选择性电极膜电位的产生、电位表达式；</w:t>
      </w:r>
    </w:p>
    <w:p w14:paraId="3D8B9519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离子选择电极的类型、结构、原理和特点：晶体膜电极、</w:t>
      </w:r>
      <w:r>
        <w:rPr>
          <w:sz w:val="24"/>
          <w:szCs w:val="24"/>
        </w:rPr>
        <w:t>pH</w:t>
      </w:r>
      <w:r>
        <w:rPr>
          <w:rFonts w:hint="eastAsia" w:cs="宋体"/>
          <w:sz w:val="24"/>
          <w:szCs w:val="24"/>
        </w:rPr>
        <w:t>玻璃电极；</w:t>
      </w:r>
    </w:p>
    <w:p w14:paraId="75FE7273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离子选择电极的性能参数；</w:t>
      </w:r>
    </w:p>
    <w:p w14:paraId="6DA5B188">
      <w:pPr>
        <w:tabs>
          <w:tab w:val="left" w:pos="0"/>
          <w:tab w:val="left" w:pos="720"/>
          <w:tab w:val="left" w:pos="144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电位分析法的分析应用：电位选择性系数及其应用；</w:t>
      </w:r>
      <w:r>
        <w:rPr>
          <w:sz w:val="24"/>
          <w:szCs w:val="24"/>
        </w:rPr>
        <w:t>pA</w:t>
      </w:r>
      <w:r>
        <w:rPr>
          <w:rFonts w:hint="eastAsia" w:cs="宋体"/>
          <w:sz w:val="24"/>
          <w:szCs w:val="24"/>
        </w:rPr>
        <w:t>的测定原理、测定方法；电位法误差的计算；应用。</w:t>
      </w:r>
    </w:p>
    <w:p w14:paraId="1597B488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第十一章 电解和库仑分析法</w:t>
      </w:r>
    </w:p>
    <w:p w14:paraId="02BD5FE3">
      <w:pPr>
        <w:tabs>
          <w:tab w:val="left" w:pos="0"/>
        </w:tabs>
        <w:spacing w:before="46" w:beforeLines="15" w:line="360" w:lineRule="auto"/>
        <w:ind w:left="2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基本原理：分解电压、析出电位；极化现象、过电位；电解时离子的析出次序及完全程度；法拉第定律；</w:t>
      </w:r>
    </w:p>
    <w:p w14:paraId="59854D14">
      <w:pPr>
        <w:tabs>
          <w:tab w:val="left" w:pos="0"/>
        </w:tabs>
        <w:spacing w:before="46" w:beforeLines="15" w:line="360" w:lineRule="auto"/>
        <w:ind w:left="2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rFonts w:hint="eastAsia" w:cs="宋体"/>
          <w:sz w:val="24"/>
          <w:szCs w:val="24"/>
        </w:rPr>
        <w:t>电解分析：控制电位电解、恒电流电解、汞阴极电解分离法的特点及应用；</w:t>
      </w:r>
    </w:p>
    <w:p w14:paraId="26A4EA9E">
      <w:pPr>
        <w:tabs>
          <w:tab w:val="left" w:pos="0"/>
        </w:tabs>
        <w:spacing w:before="46" w:beforeLines="15" w:line="360" w:lineRule="auto"/>
        <w:ind w:left="2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库仑分析法：恒电位库仑分析法、库仑滴定法的特点及应用。</w:t>
      </w:r>
    </w:p>
    <w:p w14:paraId="7D0FE792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第十二章 极谱和伏安分析法</w:t>
      </w:r>
    </w:p>
    <w:p w14:paraId="0D6E1279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普通极谱法基本原理；</w:t>
      </w:r>
    </w:p>
    <w:p w14:paraId="33CD2931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rFonts w:hint="eastAsia" w:cs="宋体"/>
          <w:sz w:val="24"/>
          <w:szCs w:val="24"/>
        </w:rPr>
        <w:t>极谱定量分析及应用：扩散电流方程式；干扰电流及其消除：充电电流、迁移电流、极谱极大电流、氧波；</w:t>
      </w:r>
    </w:p>
    <w:p w14:paraId="373D5340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极谱波方程式：简单金属离子、络合物的极谱波方程式；</w:t>
      </w:r>
    </w:p>
    <w:p w14:paraId="1868A797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rFonts w:hint="eastAsia" w:cs="宋体"/>
          <w:sz w:val="24"/>
          <w:szCs w:val="24"/>
        </w:rPr>
        <w:t>极谱分析新技术的原理、特点及应用：单扫描极谱法、循环伏安法、脉冲极谱法、溶出伏安法、催化极谱波。</w:t>
      </w:r>
    </w:p>
    <w:p w14:paraId="4F80E23C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第十三章 色谱法导论</w:t>
      </w:r>
    </w:p>
    <w:p w14:paraId="2AC30581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1. 色谱法概述：色谱法常用术语；</w:t>
      </w:r>
    </w:p>
    <w:p w14:paraId="06B38B5E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2. 色谱分类方法；</w:t>
      </w:r>
    </w:p>
    <w:p w14:paraId="599BD5AB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3. 色谱法基本理论：塔板理论、速率理论；</w:t>
      </w:r>
    </w:p>
    <w:p w14:paraId="784D623E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4. 色谱分离度及色谱分离方程；</w:t>
      </w:r>
    </w:p>
    <w:p w14:paraId="7187ACED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5. 定性、定量方法：校正因子；常用定量方法：归一化法、内标法、外标法。</w:t>
      </w:r>
      <w:r>
        <w:rPr>
          <w:sz w:val="24"/>
          <w:szCs w:val="24"/>
        </w:rPr>
        <w:t xml:space="preserve"> </w:t>
      </w:r>
    </w:p>
    <w:p w14:paraId="45B649BF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第十四章 气相色谱法</w:t>
      </w:r>
    </w:p>
    <w:p w14:paraId="7A6EE2E9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气相色谱仪：基本构造、各部分作用；常用检测器的原理、应用范围、性能参数、特点；</w:t>
      </w:r>
    </w:p>
    <w:p w14:paraId="584BE67A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rFonts w:hint="eastAsia" w:cs="宋体"/>
          <w:sz w:val="24"/>
          <w:szCs w:val="24"/>
        </w:rPr>
        <w:t>色谱分离条件的选择；</w:t>
      </w:r>
    </w:p>
    <w:p w14:paraId="231C2F1A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气相色谱法固定相及其选择；</w:t>
      </w:r>
    </w:p>
    <w:p w14:paraId="4E11C376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rFonts w:hint="eastAsia" w:cs="宋体"/>
          <w:sz w:val="24"/>
          <w:szCs w:val="24"/>
        </w:rPr>
        <w:t>气相色谱定性、定量分析：利用保留值、保留指数、经验规律定性；应用；</w:t>
      </w:r>
    </w:p>
    <w:p w14:paraId="40E725BB">
      <w:pPr>
        <w:tabs>
          <w:tab w:val="left" w:pos="0"/>
        </w:tabs>
        <w:spacing w:before="46" w:beforeLines="15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rFonts w:hint="eastAsia" w:cs="宋体"/>
          <w:sz w:val="24"/>
          <w:szCs w:val="24"/>
        </w:rPr>
        <w:t>毛细管色谱法。</w:t>
      </w:r>
    </w:p>
    <w:p w14:paraId="053497AD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第十五章 高效液相色谱法（HPLC）</w:t>
      </w:r>
    </w:p>
    <w:p w14:paraId="32EFF405">
      <w:pPr>
        <w:tabs>
          <w:tab w:val="left" w:pos="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概述：</w:t>
      </w:r>
      <w:r>
        <w:rPr>
          <w:sz w:val="24"/>
          <w:szCs w:val="24"/>
        </w:rPr>
        <w:t>HPLC</w:t>
      </w:r>
      <w:r>
        <w:rPr>
          <w:rFonts w:hint="eastAsia" w:cs="宋体"/>
          <w:sz w:val="24"/>
          <w:szCs w:val="24"/>
        </w:rPr>
        <w:t>特点、分类、原理及应用；</w:t>
      </w:r>
    </w:p>
    <w:p w14:paraId="4CD2AD66">
      <w:pPr>
        <w:tabs>
          <w:tab w:val="left" w:pos="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rFonts w:hint="eastAsia" w:cs="宋体"/>
          <w:sz w:val="24"/>
          <w:szCs w:val="24"/>
        </w:rPr>
        <w:t>高效液相色谱仪：基本结构、各部分作用；</w:t>
      </w:r>
    </w:p>
    <w:p w14:paraId="297AA52E">
      <w:pPr>
        <w:tabs>
          <w:tab w:val="left" w:pos="0"/>
        </w:tabs>
        <w:spacing w:line="360" w:lineRule="auto"/>
        <w:rPr>
          <w:rFonts w:cs="宋体"/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分配色谱法、吸附色谱法、离子交换色谱法和离子色谱法、尺寸排阻色谱法：原理；特点；应用。</w:t>
      </w:r>
    </w:p>
    <w:p w14:paraId="71324E59">
      <w:pPr>
        <w:tabs>
          <w:tab w:val="left" w:pos="360"/>
        </w:tabs>
        <w:spacing w:before="46" w:beforeLines="15"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第十六章 质谱法</w:t>
      </w:r>
    </w:p>
    <w:p w14:paraId="2AAE10DC">
      <w:pPr>
        <w:tabs>
          <w:tab w:val="left" w:pos="0"/>
        </w:tabs>
        <w:spacing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1. 质谱的基本原理；</w:t>
      </w:r>
    </w:p>
    <w:p w14:paraId="3B78D698">
      <w:pPr>
        <w:tabs>
          <w:tab w:val="left" w:pos="0"/>
        </w:tabs>
        <w:spacing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2. 质谱仪简介；</w:t>
      </w:r>
    </w:p>
    <w:p w14:paraId="4B33B1E2">
      <w:pPr>
        <w:tabs>
          <w:tab w:val="left" w:pos="0"/>
        </w:tabs>
        <w:spacing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3. 质谱的离子类型、裂解规律的基本概念、开裂类型及规律；</w:t>
      </w:r>
    </w:p>
    <w:p w14:paraId="7E48CA75">
      <w:pPr>
        <w:tabs>
          <w:tab w:val="left" w:pos="0"/>
        </w:tabs>
        <w:spacing w:line="360" w:lineRule="auto"/>
        <w:rPr>
          <w:rFonts w:hint="eastAsia" w:cs="宋体"/>
          <w:sz w:val="24"/>
          <w:szCs w:val="24"/>
        </w:rPr>
      </w:pPr>
      <w:r>
        <w:rPr>
          <w:rFonts w:cs="宋体"/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. 各类有机物的质谱；</w:t>
      </w:r>
    </w:p>
    <w:p w14:paraId="38B4D11C">
      <w:pPr>
        <w:tabs>
          <w:tab w:val="left" w:pos="0"/>
        </w:tabs>
        <w:spacing w:line="360" w:lineRule="auto"/>
        <w:rPr>
          <w:rFonts w:hAnsi="宋体" w:cs="宋体"/>
          <w:b/>
          <w:bCs/>
          <w:sz w:val="24"/>
          <w:szCs w:val="24"/>
        </w:rPr>
      </w:pPr>
      <w:r>
        <w:rPr>
          <w:rFonts w:cs="宋体"/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. 质谱的解析及应用</w:t>
      </w:r>
    </w:p>
    <w:p w14:paraId="5E35E863">
      <w:pPr>
        <w:spacing w:before="46" w:beforeLines="15" w:line="360" w:lineRule="auto"/>
        <w:rPr>
          <w:rFonts w:hint="eastAsia" w:ascii="宋体" w:hAnsi="宋体" w:cs="宋体"/>
          <w:sz w:val="24"/>
        </w:rPr>
      </w:pPr>
      <w:r>
        <w:rPr>
          <w:rFonts w:hint="eastAsia" w:hAnsi="宋体" w:cs="宋体"/>
          <w:b/>
          <w:bCs/>
          <w:sz w:val="24"/>
          <w:szCs w:val="24"/>
        </w:rPr>
        <w:t>仪器分析实验：</w:t>
      </w:r>
      <w:r>
        <w:rPr>
          <w:rFonts w:hint="eastAsia" w:hAnsi="宋体" w:cs="宋体"/>
          <w:sz w:val="24"/>
          <w:szCs w:val="24"/>
        </w:rPr>
        <w:t>各种仪器的基本操作；定性、定量分析方法及其应用。</w:t>
      </w: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FED3CD-186F-4E10-87C6-86409BB834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6ECD495-BAFA-4F18-8EE7-4EF6B81326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5F989">
    <w:pPr>
      <w:pStyle w:val="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22</w:t>
    </w:r>
    <w:r>
      <w:fldChar w:fldCharType="end"/>
    </w:r>
  </w:p>
  <w:p w14:paraId="2F849598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815325"/>
    <w:multiLevelType w:val="multilevel"/>
    <w:tmpl w:val="09815325"/>
    <w:lvl w:ilvl="0" w:tentative="0">
      <w:start w:val="1"/>
      <w:numFmt w:val="decimal"/>
      <w:lvlText w:val="%1."/>
      <w:lvlJc w:val="left"/>
      <w:pPr>
        <w:tabs>
          <w:tab w:val="left" w:pos="779"/>
        </w:tabs>
        <w:ind w:left="779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199"/>
        </w:tabs>
        <w:ind w:left="1199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9"/>
        </w:tabs>
        <w:ind w:left="1619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9"/>
        </w:tabs>
        <w:ind w:left="2039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9"/>
        </w:tabs>
        <w:ind w:left="2459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9"/>
        </w:tabs>
        <w:ind w:left="2879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9"/>
        </w:tabs>
        <w:ind w:left="3299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9"/>
        </w:tabs>
        <w:ind w:left="3719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9"/>
        </w:tabs>
        <w:ind w:left="4139" w:hanging="420"/>
      </w:pPr>
      <w:rPr>
        <w:rFonts w:cs="Times New Roman"/>
      </w:rPr>
    </w:lvl>
  </w:abstractNum>
  <w:abstractNum w:abstractNumId="1">
    <w:nsid w:val="14C461C4"/>
    <w:multiLevelType w:val="multilevel"/>
    <w:tmpl w:val="14C461C4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2">
    <w:nsid w:val="221A0955"/>
    <w:multiLevelType w:val="multilevel"/>
    <w:tmpl w:val="221A095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25B66360"/>
    <w:multiLevelType w:val="multilevel"/>
    <w:tmpl w:val="25B6636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4">
    <w:nsid w:val="26181ABC"/>
    <w:multiLevelType w:val="multilevel"/>
    <w:tmpl w:val="26181ABC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5">
    <w:nsid w:val="31A07CF0"/>
    <w:multiLevelType w:val="multilevel"/>
    <w:tmpl w:val="31A07CF0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>
    <w:nsid w:val="64350A8E"/>
    <w:multiLevelType w:val="multilevel"/>
    <w:tmpl w:val="64350A8E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7">
    <w:nsid w:val="6E8F3E43"/>
    <w:multiLevelType w:val="multilevel"/>
    <w:tmpl w:val="6E8F3E43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8">
    <w:nsid w:val="703F77F2"/>
    <w:multiLevelType w:val="multilevel"/>
    <w:tmpl w:val="703F77F2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9">
    <w:nsid w:val="71D959F3"/>
    <w:multiLevelType w:val="multilevel"/>
    <w:tmpl w:val="71D959F3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1ODNhNGY5MmI1YTI4NjVkYWZkZDQxYzg5NWY1OGMifQ=="/>
  </w:docVars>
  <w:rsids>
    <w:rsidRoot w:val="00172A27"/>
    <w:rsid w:val="0005306C"/>
    <w:rsid w:val="0024280C"/>
    <w:rsid w:val="00295C36"/>
    <w:rsid w:val="002B33CA"/>
    <w:rsid w:val="002E1BB9"/>
    <w:rsid w:val="002E73AE"/>
    <w:rsid w:val="002F6699"/>
    <w:rsid w:val="00320708"/>
    <w:rsid w:val="003D5A8B"/>
    <w:rsid w:val="00530EBC"/>
    <w:rsid w:val="005A7080"/>
    <w:rsid w:val="005D608F"/>
    <w:rsid w:val="005E2269"/>
    <w:rsid w:val="00626F44"/>
    <w:rsid w:val="00755901"/>
    <w:rsid w:val="00782ECF"/>
    <w:rsid w:val="008710BF"/>
    <w:rsid w:val="00881DDF"/>
    <w:rsid w:val="008912A7"/>
    <w:rsid w:val="0089158D"/>
    <w:rsid w:val="008F57B7"/>
    <w:rsid w:val="00935349"/>
    <w:rsid w:val="00966FF9"/>
    <w:rsid w:val="00991196"/>
    <w:rsid w:val="00B42353"/>
    <w:rsid w:val="00B67F61"/>
    <w:rsid w:val="00C31AB0"/>
    <w:rsid w:val="00C33B0E"/>
    <w:rsid w:val="00DD7548"/>
    <w:rsid w:val="00E36996"/>
    <w:rsid w:val="00E8051C"/>
    <w:rsid w:val="00F70488"/>
    <w:rsid w:val="00F915F2"/>
    <w:rsid w:val="00FA2A1A"/>
    <w:rsid w:val="0C617C65"/>
    <w:rsid w:val="129B61D8"/>
    <w:rsid w:val="136D48AC"/>
    <w:rsid w:val="15CA6802"/>
    <w:rsid w:val="16A27D67"/>
    <w:rsid w:val="174848EB"/>
    <w:rsid w:val="18541252"/>
    <w:rsid w:val="206C28F6"/>
    <w:rsid w:val="20F47472"/>
    <w:rsid w:val="23CF4D34"/>
    <w:rsid w:val="255D3B3D"/>
    <w:rsid w:val="26975E9F"/>
    <w:rsid w:val="27EA6F67"/>
    <w:rsid w:val="2D8D4E7E"/>
    <w:rsid w:val="2F2F703D"/>
    <w:rsid w:val="2F7C7FBE"/>
    <w:rsid w:val="33E45A07"/>
    <w:rsid w:val="35680AB9"/>
    <w:rsid w:val="36046551"/>
    <w:rsid w:val="37F0607D"/>
    <w:rsid w:val="3C1C1178"/>
    <w:rsid w:val="3DF94D62"/>
    <w:rsid w:val="43222004"/>
    <w:rsid w:val="44AD0C2A"/>
    <w:rsid w:val="4B1328B7"/>
    <w:rsid w:val="4C0B741D"/>
    <w:rsid w:val="4EE94F9C"/>
    <w:rsid w:val="4F4A584B"/>
    <w:rsid w:val="533A26AB"/>
    <w:rsid w:val="53C02053"/>
    <w:rsid w:val="53CF5AC9"/>
    <w:rsid w:val="55944A0F"/>
    <w:rsid w:val="56AF40CB"/>
    <w:rsid w:val="570F79A8"/>
    <w:rsid w:val="5C045B37"/>
    <w:rsid w:val="5F593708"/>
    <w:rsid w:val="62BF00A6"/>
    <w:rsid w:val="64D00FB4"/>
    <w:rsid w:val="64EB2AB5"/>
    <w:rsid w:val="68936A84"/>
    <w:rsid w:val="6B15132A"/>
    <w:rsid w:val="6D112C0C"/>
    <w:rsid w:val="6D41420B"/>
    <w:rsid w:val="6E604605"/>
    <w:rsid w:val="74500B07"/>
    <w:rsid w:val="74B40DA7"/>
    <w:rsid w:val="74EA0887"/>
    <w:rsid w:val="781C50E7"/>
    <w:rsid w:val="7D4A2890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unhideWhenUsed/>
    <w:uiPriority w:val="99"/>
    <w:pPr>
      <w:jc w:val="left"/>
    </w:pPr>
  </w:style>
  <w:style w:type="paragraph" w:styleId="4">
    <w:name w:val="toc 3"/>
    <w:basedOn w:val="1"/>
    <w:next w:val="1"/>
    <w:unhideWhenUsed/>
    <w:uiPriority w:val="39"/>
    <w:pPr>
      <w:widowControl/>
      <w:spacing w:after="100" w:line="259" w:lineRule="auto"/>
      <w:ind w:left="440"/>
      <w:jc w:val="left"/>
    </w:pPr>
    <w:rPr>
      <w:rFonts w:ascii="等线" w:hAnsi="等线" w:eastAsia="等线"/>
      <w:kern w:val="0"/>
      <w:sz w:val="22"/>
    </w:rPr>
  </w:style>
  <w:style w:type="paragraph" w:styleId="5">
    <w:name w:val="Plain Text"/>
    <w:basedOn w:val="1"/>
    <w:link w:val="18"/>
    <w:uiPriority w:val="0"/>
    <w:rPr>
      <w:rFonts w:ascii="Courier New" w:hAnsi="Courier New"/>
      <w:szCs w:val="20"/>
    </w:rPr>
  </w:style>
  <w:style w:type="paragraph" w:styleId="6">
    <w:name w:val="Balloon Text"/>
    <w:basedOn w:val="1"/>
    <w:link w:val="19"/>
    <w:unhideWhenUsed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toc 1"/>
    <w:basedOn w:val="1"/>
    <w:next w:val="1"/>
    <w:unhideWhenUsed/>
    <w:uiPriority w:val="39"/>
    <w:rPr>
      <w:rFonts w:ascii="Calibri" w:hAnsi="Calibri"/>
    </w:rPr>
  </w:style>
  <w:style w:type="paragraph" w:styleId="10">
    <w:name w:val="toc 2"/>
    <w:basedOn w:val="1"/>
    <w:next w:val="1"/>
    <w:unhideWhenUsed/>
    <w:uiPriority w:val="39"/>
    <w:pPr>
      <w:ind w:left="420" w:leftChars="200"/>
    </w:pPr>
  </w:style>
  <w:style w:type="paragraph" w:styleId="11">
    <w:name w:val="annotation subject"/>
    <w:basedOn w:val="3"/>
    <w:next w:val="3"/>
    <w:link w:val="22"/>
    <w:unhideWhenUsed/>
    <w:uiPriority w:val="99"/>
    <w:rPr>
      <w:b/>
      <w:bCs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annotation reference"/>
    <w:unhideWhenUsed/>
    <w:uiPriority w:val="99"/>
    <w:rPr>
      <w:sz w:val="21"/>
      <w:szCs w:val="21"/>
    </w:rPr>
  </w:style>
  <w:style w:type="character" w:customStyle="1" w:styleId="16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7">
    <w:name w:val="批注文字 字符"/>
    <w:link w:val="3"/>
    <w:uiPriority w:val="99"/>
    <w:rPr>
      <w:kern w:val="2"/>
      <w:sz w:val="21"/>
      <w:szCs w:val="22"/>
    </w:rPr>
  </w:style>
  <w:style w:type="character" w:customStyle="1" w:styleId="18">
    <w:name w:val="纯文本 字符1"/>
    <w:link w:val="5"/>
    <w:locked/>
    <w:uiPriority w:val="0"/>
    <w:rPr>
      <w:rFonts w:ascii="Courier New" w:hAnsi="Courier New"/>
      <w:kern w:val="2"/>
      <w:sz w:val="21"/>
    </w:rPr>
  </w:style>
  <w:style w:type="character" w:customStyle="1" w:styleId="19">
    <w:name w:val="批注框文本 字符"/>
    <w:link w:val="6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7"/>
    <w:semiHidden/>
    <w:uiPriority w:val="99"/>
    <w:rPr>
      <w:sz w:val="18"/>
      <w:szCs w:val="18"/>
    </w:rPr>
  </w:style>
  <w:style w:type="character" w:customStyle="1" w:styleId="21">
    <w:name w:val="页眉 字符"/>
    <w:link w:val="8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character" w:customStyle="1" w:styleId="23">
    <w:name w:val="纯文本 字符"/>
    <w:semiHidden/>
    <w:uiPriority w:val="99"/>
    <w:rPr>
      <w:rFonts w:ascii="宋体" w:hAnsi="Courier New" w:cs="Courier New"/>
      <w:kern w:val="2"/>
      <w:sz w:val="21"/>
      <w:szCs w:val="21"/>
    </w:rPr>
  </w:style>
  <w:style w:type="paragraph" w:styleId="24">
    <w:name w:val="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  <w:style w:type="character" w:customStyle="1" w:styleId="25">
    <w:name w:val="页脚 Char"/>
    <w:uiPriority w:val="99"/>
    <w:rPr>
      <w:lang w:eastAsia="zh-CN"/>
    </w:rPr>
  </w:style>
  <w:style w:type="paragraph" w:styleId="26">
    <w:name w:val=""/>
    <w:unhideWhenUsed/>
    <w:uiPriority w:val="99"/>
    <w:rPr>
      <w:kern w:val="2"/>
      <w:sz w:val="21"/>
      <w:szCs w:val="22"/>
      <w:lang w:val="en-US" w:eastAsia="zh-CN" w:bidi="ar-SA"/>
    </w:rPr>
  </w:style>
  <w:style w:type="paragraph" w:customStyle="1" w:styleId="27">
    <w:name w:val="Default"/>
    <w:uiPriority w:val="0"/>
    <w:pPr>
      <w:widowControl w:val="0"/>
      <w:autoSpaceDE w:val="0"/>
      <w:autoSpaceDN w:val="0"/>
      <w:adjustRightInd w:val="0"/>
    </w:pPr>
    <w:rPr>
      <w:rFonts w:ascii="黑体" w:hAnsi="等线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3788</Words>
  <Characters>3917</Characters>
  <Lines>143</Lines>
  <Paragraphs>40</Paragraphs>
  <TotalTime>0</TotalTime>
  <ScaleCrop>false</ScaleCrop>
  <LinksUpToDate>false</LinksUpToDate>
  <CharactersWithSpaces>4018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2021-09-08T03:40:00Z</dcterms:created>
  <dc:creator>微软用户</dc:creator>
  <cp:lastModifiedBy>李坤伦</cp:lastModifiedBy>
  <cp:lastPrinted>2021-09-08T05:38:00Z</cp:lastPrinted>
  <dcterms:modified xsi:type="dcterms:W3CDTF">2026-07-01T00:30:10Z</dcterms:modified>
  <dc:title>附件7：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52937413F96C4BDD9143AC2B401E6A46_13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