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7156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rPr>
          <w:rFonts w:hint="eastAsia" w:ascii="黑体" w:hAnsi="黑体" w:eastAsia="黑体" w:cs="黑体"/>
          <w:snapToGrid w:val="0"/>
          <w:color w:val="000000"/>
          <w:spacing w:val="1"/>
          <w:kern w:val="0"/>
          <w:sz w:val="32"/>
          <w:szCs w:val="32"/>
        </w:rPr>
      </w:pPr>
      <w:bookmarkStart w:id="0" w:name="_Toc169594514"/>
      <w:bookmarkStart w:id="1" w:name="_Toc523746239"/>
      <w:r>
        <w:rPr>
          <w:rFonts w:hint="eastAsia" w:ascii="黑体" w:hAnsi="黑体" w:eastAsia="黑体" w:cs="黑体"/>
          <w:snapToGrid w:val="0"/>
          <w:color w:val="000000"/>
          <w:spacing w:val="1"/>
          <w:kern w:val="0"/>
          <w:sz w:val="32"/>
          <w:szCs w:val="32"/>
        </w:rPr>
        <w:t>417 普通生态学与鱼类学</w:t>
      </w:r>
      <w:bookmarkEnd w:id="0"/>
      <w:bookmarkEnd w:id="1"/>
    </w:p>
    <w:p w14:paraId="26F0BBB9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rPr>
          <w:rFonts w:hint="eastAsia" w:ascii="黑体" w:hAnsi="黑体" w:eastAsia="黑体" w:cs="黑体"/>
          <w:snapToGrid w:val="0"/>
          <w:color w:val="000000"/>
          <w:spacing w:val="1"/>
          <w:kern w:val="0"/>
          <w:sz w:val="32"/>
          <w:szCs w:val="32"/>
        </w:rPr>
      </w:pPr>
    </w:p>
    <w:p w14:paraId="6BE0C6FA">
      <w:pPr>
        <w:spacing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0947F7CD">
      <w:pPr>
        <w:spacing w:line="360" w:lineRule="auto"/>
        <w:ind w:firstLine="480" w:firstLineChars="200"/>
        <w:contextualSpacing/>
        <w:rPr>
          <w:color w:val="FF0000"/>
          <w:sz w:val="24"/>
        </w:rPr>
      </w:pPr>
      <w:r>
        <w:rPr>
          <w:sz w:val="24"/>
        </w:rPr>
        <w:t>本考试是水产学科硕士研究生入学考试的专业基础课程，涵盖《普通生态学》《鱼类学》两部分内容。</w:t>
      </w:r>
    </w:p>
    <w:p w14:paraId="672BB4EA">
      <w:pPr>
        <w:spacing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6BAE61DE">
      <w:pPr>
        <w:autoSpaceDN w:val="0"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本考试的目标为：</w:t>
      </w:r>
    </w:p>
    <w:p w14:paraId="1C60FC64">
      <w:pPr>
        <w:spacing w:line="360" w:lineRule="auto"/>
        <w:ind w:firstLine="480"/>
        <w:contextualSpacing/>
        <w:rPr>
          <w:sz w:val="24"/>
        </w:rPr>
      </w:pPr>
      <w:r>
        <w:rPr>
          <w:sz w:val="24"/>
        </w:rPr>
        <w:t>1、《普通生态学》要求考生能系统理解生态学基础理论知识，掌握生态学研究基本方法，了解当前生态学研究的发展动态与热点问题，初步具备利用生态学基本原理与方法分析和解决社会实践中资源、人口和环境等生态学实际问题的能力。</w:t>
      </w:r>
    </w:p>
    <w:p w14:paraId="39046BED">
      <w:pPr>
        <w:autoSpaceDN w:val="0"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2.《鱼类学》</w:t>
      </w:r>
      <w:r>
        <w:rPr>
          <w:color w:val="000000"/>
          <w:sz w:val="24"/>
        </w:rPr>
        <w:t>要求考生能系统理解鱼类的形态结构特征及功能、鱼类分类及生物学特性，掌握鱼类形态和分类的基础知识、基本研究方法，了解重要经济鱼类的地理分布、生物学和经济意义等。</w:t>
      </w:r>
    </w:p>
    <w:p w14:paraId="71CF25E0">
      <w:pPr>
        <w:spacing w:line="360" w:lineRule="auto"/>
        <w:contextualSpacing/>
        <w:rPr>
          <w:sz w:val="24"/>
        </w:rPr>
      </w:pPr>
      <w:r>
        <w:rPr>
          <w:b/>
          <w:bCs/>
          <w:sz w:val="28"/>
          <w:szCs w:val="28"/>
        </w:rPr>
        <w:t>三、考试形式</w:t>
      </w:r>
    </w:p>
    <w:p w14:paraId="45CE4BDA">
      <w:pPr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本考试为闭卷考试，满分为150分，《普通生态学》和《鱼类学》</w:t>
      </w:r>
      <w:r>
        <w:rPr>
          <w:color w:val="000000"/>
          <w:sz w:val="24"/>
        </w:rPr>
        <w:t>部分满分各为75分，</w:t>
      </w:r>
      <w:r>
        <w:rPr>
          <w:sz w:val="24"/>
        </w:rPr>
        <w:t>考试时间为180分钟。</w:t>
      </w:r>
    </w:p>
    <w:p w14:paraId="34ABE715">
      <w:pPr>
        <w:spacing w:line="36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55838F14">
      <w:pPr>
        <w:spacing w:line="360" w:lineRule="auto"/>
        <w:rPr>
          <w:sz w:val="24"/>
        </w:rPr>
      </w:pPr>
      <w:r>
        <w:rPr>
          <w:b/>
          <w:bCs/>
          <w:sz w:val="28"/>
          <w:szCs w:val="28"/>
        </w:rPr>
        <w:t xml:space="preserve">    </w:t>
      </w:r>
      <w:r>
        <w:rPr>
          <w:b/>
          <w:sz w:val="24"/>
        </w:rPr>
        <w:t>《普通生态学》部分：</w:t>
      </w:r>
    </w:p>
    <w:p w14:paraId="14295970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1、绪论</w:t>
      </w:r>
    </w:p>
    <w:p w14:paraId="7FF7B871">
      <w:pPr>
        <w:spacing w:line="360" w:lineRule="auto"/>
        <w:contextualSpacing/>
      </w:pPr>
      <w:r>
        <w:rPr>
          <w:sz w:val="24"/>
        </w:rPr>
        <w:t>（1）生态学定义</w:t>
      </w:r>
    </w:p>
    <w:p w14:paraId="54EDCB82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（2）生态学研究对象</w:t>
      </w:r>
    </w:p>
    <w:p w14:paraId="372C12B7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（3）生态学的分支学科</w:t>
      </w:r>
    </w:p>
    <w:p w14:paraId="7F28A129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（4）生态学的研究方法</w:t>
      </w:r>
    </w:p>
    <w:p w14:paraId="5A8F404D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（5）生态学的发展趋势</w:t>
      </w:r>
    </w:p>
    <w:p w14:paraId="11A66A8B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2、有机体与环境</w:t>
      </w:r>
    </w:p>
    <w:p w14:paraId="76359401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（1）生态因子概念及其分类</w:t>
      </w:r>
    </w:p>
    <w:p w14:paraId="442F2E73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（2）环境因子（温度、水、光照、溶解盐类、溶解气体等）对生物的影响及生物对环境的适应</w:t>
      </w:r>
    </w:p>
    <w:p w14:paraId="1A1118DC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（3）利比希最小因子、限制因子与耐受性定律</w:t>
      </w:r>
    </w:p>
    <w:p w14:paraId="3968CCCC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3、种群生态学</w:t>
      </w:r>
    </w:p>
    <w:p w14:paraId="64BD522C">
      <w:pPr>
        <w:tabs>
          <w:tab w:val="left" w:pos="900"/>
          <w:tab w:val="left" w:pos="960"/>
        </w:tabs>
        <w:autoSpaceDN w:val="0"/>
        <w:spacing w:line="360" w:lineRule="auto"/>
        <w:contextualSpacing/>
      </w:pPr>
      <w:r>
        <w:rPr>
          <w:sz w:val="24"/>
        </w:rPr>
        <w:t>（1）种群的概念及特征</w:t>
      </w:r>
    </w:p>
    <w:p w14:paraId="72017FDF">
      <w:pPr>
        <w:tabs>
          <w:tab w:val="left" w:pos="900"/>
          <w:tab w:val="left" w:pos="960"/>
        </w:tabs>
        <w:autoSpaceDN w:val="0"/>
        <w:spacing w:line="360" w:lineRule="auto"/>
        <w:contextualSpacing/>
      </w:pPr>
      <w:r>
        <w:rPr>
          <w:sz w:val="24"/>
        </w:rPr>
        <w:t>（2）种群的结构及增长模型</w:t>
      </w:r>
    </w:p>
    <w:p w14:paraId="03F7F207">
      <w:pPr>
        <w:tabs>
          <w:tab w:val="left" w:pos="900"/>
          <w:tab w:val="left" w:pos="960"/>
        </w:tabs>
        <w:autoSpaceDN w:val="0"/>
        <w:spacing w:line="360" w:lineRule="auto"/>
        <w:contextualSpacing/>
      </w:pPr>
      <w:r>
        <w:rPr>
          <w:sz w:val="24"/>
        </w:rPr>
        <w:t>（3）物种遗传变异和选择</w:t>
      </w:r>
    </w:p>
    <w:p w14:paraId="462CEB33">
      <w:pPr>
        <w:tabs>
          <w:tab w:val="left" w:pos="900"/>
          <w:tab w:val="left" w:pos="960"/>
        </w:tabs>
        <w:autoSpaceDN w:val="0"/>
        <w:spacing w:line="360" w:lineRule="auto"/>
        <w:contextualSpacing/>
      </w:pPr>
      <w:r>
        <w:rPr>
          <w:sz w:val="24"/>
        </w:rPr>
        <w:t>（4）物种形成</w:t>
      </w:r>
    </w:p>
    <w:p w14:paraId="49E59BAE">
      <w:pPr>
        <w:tabs>
          <w:tab w:val="left" w:pos="900"/>
          <w:tab w:val="left" w:pos="960"/>
        </w:tabs>
        <w:autoSpaceDN w:val="0"/>
        <w:spacing w:line="360" w:lineRule="auto"/>
        <w:contextualSpacing/>
      </w:pPr>
      <w:r>
        <w:rPr>
          <w:sz w:val="24"/>
        </w:rPr>
        <w:t>（5）生物的生态对策</w:t>
      </w:r>
    </w:p>
    <w:p w14:paraId="26328A70">
      <w:pPr>
        <w:autoSpaceDN w:val="0"/>
        <w:spacing w:line="360" w:lineRule="auto"/>
        <w:contextualSpacing/>
      </w:pPr>
      <w:r>
        <w:rPr>
          <w:sz w:val="24"/>
        </w:rPr>
        <w:t>（6）种内关系</w:t>
      </w:r>
    </w:p>
    <w:p w14:paraId="1AB4296A">
      <w:pPr>
        <w:autoSpaceDN w:val="0"/>
        <w:spacing w:line="360" w:lineRule="auto"/>
        <w:contextualSpacing/>
      </w:pPr>
      <w:r>
        <w:rPr>
          <w:sz w:val="24"/>
        </w:rPr>
        <w:t>（7）种群的动态及其调节</w:t>
      </w:r>
    </w:p>
    <w:p w14:paraId="3F64C6D8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4、群落生态学</w:t>
      </w:r>
    </w:p>
    <w:p w14:paraId="7F868D83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（1）</w:t>
      </w:r>
      <w:r>
        <w:rPr>
          <w:sz w:val="14"/>
        </w:rPr>
        <w:t xml:space="preserve"> </w:t>
      </w:r>
      <w:r>
        <w:rPr>
          <w:sz w:val="24"/>
        </w:rPr>
        <w:t>群落的概念及其特征</w:t>
      </w:r>
    </w:p>
    <w:p w14:paraId="00AA105D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（2）群落的结构及动态</w:t>
      </w:r>
    </w:p>
    <w:p w14:paraId="7C47902B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（3）种间关系及其特征</w:t>
      </w:r>
    </w:p>
    <w:p w14:paraId="2961FCF1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（4）生物群落的演替</w:t>
      </w:r>
    </w:p>
    <w:p w14:paraId="018C5ECB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5、生态系统生态学</w:t>
      </w:r>
    </w:p>
    <w:p w14:paraId="3ACB183D">
      <w:pPr>
        <w:autoSpaceDN w:val="0"/>
        <w:spacing w:line="360" w:lineRule="auto"/>
        <w:contextualSpacing/>
      </w:pPr>
      <w:r>
        <w:rPr>
          <w:sz w:val="24"/>
        </w:rPr>
        <w:t>（1）生态系统的一般特征</w:t>
      </w:r>
    </w:p>
    <w:p w14:paraId="2AFD3627">
      <w:pPr>
        <w:autoSpaceDN w:val="0"/>
        <w:spacing w:line="360" w:lineRule="auto"/>
        <w:contextualSpacing/>
      </w:pPr>
      <w:r>
        <w:rPr>
          <w:sz w:val="24"/>
        </w:rPr>
        <w:t>（2）生态系统的能量流动、物质循环、信息传递</w:t>
      </w:r>
    </w:p>
    <w:p w14:paraId="428B0D98">
      <w:pPr>
        <w:autoSpaceDN w:val="0"/>
        <w:spacing w:line="360" w:lineRule="auto"/>
        <w:contextualSpacing/>
      </w:pPr>
      <w:r>
        <w:rPr>
          <w:sz w:val="24"/>
        </w:rPr>
        <w:t>（3）地球上生态系统的主要类型及其分布</w:t>
      </w:r>
    </w:p>
    <w:p w14:paraId="7C3159BE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6、应用生态学</w:t>
      </w:r>
    </w:p>
    <w:p w14:paraId="09922835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（1）水域生态系统的生物生产</w:t>
      </w:r>
    </w:p>
    <w:p w14:paraId="543EFD52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（2）人口、环境、资源问题</w:t>
      </w:r>
    </w:p>
    <w:p w14:paraId="68A6D1B0">
      <w:pPr>
        <w:tabs>
          <w:tab w:val="left" w:pos="900"/>
        </w:tabs>
        <w:autoSpaceDN w:val="0"/>
        <w:spacing w:line="360" w:lineRule="auto"/>
        <w:contextualSpacing/>
      </w:pPr>
      <w:r>
        <w:rPr>
          <w:sz w:val="24"/>
        </w:rPr>
        <w:t>（3）生物多样性与保育</w:t>
      </w:r>
    </w:p>
    <w:p w14:paraId="29F73DB3">
      <w:pPr>
        <w:tabs>
          <w:tab w:val="left" w:pos="900"/>
          <w:tab w:val="left" w:pos="3090"/>
        </w:tabs>
        <w:autoSpaceDN w:val="0"/>
        <w:spacing w:line="360" w:lineRule="auto"/>
        <w:contextualSpacing/>
      </w:pPr>
      <w:r>
        <w:rPr>
          <w:sz w:val="24"/>
        </w:rPr>
        <w:t>（4）水域的富营养化和赤潮</w:t>
      </w:r>
    </w:p>
    <w:p w14:paraId="05B1C572">
      <w:pPr>
        <w:tabs>
          <w:tab w:val="left" w:pos="900"/>
          <w:tab w:val="left" w:pos="3090"/>
        </w:tabs>
        <w:autoSpaceDN w:val="0"/>
        <w:spacing w:line="360" w:lineRule="auto"/>
        <w:contextualSpacing/>
        <w:rPr>
          <w:sz w:val="24"/>
        </w:rPr>
      </w:pPr>
      <w:r>
        <w:rPr>
          <w:sz w:val="24"/>
        </w:rPr>
        <w:t>（5）生态系统服务理论</w:t>
      </w:r>
    </w:p>
    <w:p w14:paraId="68BFD2DF">
      <w:pPr>
        <w:tabs>
          <w:tab w:val="left" w:pos="900"/>
          <w:tab w:val="left" w:pos="3090"/>
        </w:tabs>
        <w:autoSpaceDN w:val="0"/>
        <w:spacing w:line="360" w:lineRule="auto"/>
        <w:contextualSpacing/>
        <w:rPr>
          <w:color w:val="FF0000"/>
          <w:sz w:val="24"/>
        </w:rPr>
      </w:pPr>
    </w:p>
    <w:p w14:paraId="038001C8">
      <w:pPr>
        <w:autoSpaceDN w:val="0"/>
        <w:spacing w:line="360" w:lineRule="auto"/>
        <w:ind w:firstLine="480"/>
        <w:contextualSpacing/>
        <w:rPr>
          <w:b/>
          <w:sz w:val="24"/>
        </w:rPr>
      </w:pPr>
      <w:r>
        <w:rPr>
          <w:b/>
          <w:sz w:val="24"/>
        </w:rPr>
        <w:t>《鱼类学》部分：</w:t>
      </w:r>
    </w:p>
    <w:p w14:paraId="03921F49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1.鱼类形态部分</w:t>
      </w:r>
    </w:p>
    <w:p w14:paraId="6D9CF5FE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鱼类的外部形态、常用测量指标。</w:t>
      </w:r>
    </w:p>
    <w:p w14:paraId="3C59FD0C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鱼类皮肤的基本形态结构，衍生物的来源、种类及形态结构。</w:t>
      </w:r>
    </w:p>
    <w:p w14:paraId="40D572C6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硬骨鱼类骨骼系统的基本结构及功能。</w:t>
      </w:r>
    </w:p>
    <w:p w14:paraId="4535FABE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鱼类肌肉的种类、形态结构及功能，</w:t>
      </w:r>
      <w:r>
        <w:rPr>
          <w:color w:val="000000"/>
          <w:kern w:val="0"/>
          <w:sz w:val="24"/>
        </w:rPr>
        <w:t>发电器官的结构与功能。</w:t>
      </w:r>
    </w:p>
    <w:p w14:paraId="15C73B6C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鱼类消化系统的组成和各器官的形态结构与功能。</w:t>
      </w:r>
    </w:p>
    <w:p w14:paraId="34D75B25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kern w:val="0"/>
          <w:sz w:val="24"/>
        </w:rPr>
        <w:t>鱼类鳃的基本构造及功能，辅助呼吸器官，鳔的构造与功能。</w:t>
      </w:r>
    </w:p>
    <w:p w14:paraId="3E7A414A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鱼类循环系统的组成与功能，心脏的基本结构与功能。</w:t>
      </w:r>
    </w:p>
    <w:p w14:paraId="532EA222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鱼类泌尿生殖系统的基本结构及功能，</w:t>
      </w:r>
      <w:r>
        <w:rPr>
          <w:color w:val="000000"/>
          <w:kern w:val="0"/>
          <w:sz w:val="24"/>
        </w:rPr>
        <w:t>渗透压调节机理，</w:t>
      </w:r>
      <w:r>
        <w:rPr>
          <w:color w:val="000000"/>
          <w:sz w:val="24"/>
        </w:rPr>
        <w:t>鱼类的生殖方式。</w:t>
      </w:r>
    </w:p>
    <w:p w14:paraId="109821F2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鱼类神经系统的基本结构和各部分的功能。</w:t>
      </w:r>
    </w:p>
    <w:p w14:paraId="3BEE078F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鱼类感觉器官的种类、形态结构及其功能。</w:t>
      </w:r>
    </w:p>
    <w:p w14:paraId="7145116D">
      <w:pPr>
        <w:numPr>
          <w:ilvl w:val="0"/>
          <w:numId w:val="1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鱼类主要内分泌器官的种类和功能。</w:t>
      </w:r>
    </w:p>
    <w:p w14:paraId="46091BB0">
      <w:pPr>
        <w:autoSpaceDN w:val="0"/>
        <w:spacing w:line="360" w:lineRule="auto"/>
        <w:contextualSpacing/>
        <w:rPr>
          <w:bCs/>
          <w:sz w:val="24"/>
        </w:rPr>
      </w:pPr>
      <w:r>
        <w:rPr>
          <w:bCs/>
          <w:sz w:val="24"/>
        </w:rPr>
        <w:t>2.鱼类分类部分</w:t>
      </w:r>
    </w:p>
    <w:p w14:paraId="08FB5430">
      <w:pPr>
        <w:numPr>
          <w:ilvl w:val="0"/>
          <w:numId w:val="2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分类的基本概念。</w:t>
      </w:r>
    </w:p>
    <w:p w14:paraId="211CCDB4">
      <w:pPr>
        <w:numPr>
          <w:ilvl w:val="0"/>
          <w:numId w:val="2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分类的基本方法。</w:t>
      </w:r>
    </w:p>
    <w:p w14:paraId="18F108FC">
      <w:pPr>
        <w:numPr>
          <w:ilvl w:val="0"/>
          <w:numId w:val="2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鱼类分类系统的结构体系。</w:t>
      </w:r>
    </w:p>
    <w:p w14:paraId="021058ED">
      <w:pPr>
        <w:numPr>
          <w:ilvl w:val="0"/>
          <w:numId w:val="2"/>
        </w:numPr>
        <w:tabs>
          <w:tab w:val="left" w:pos="720"/>
        </w:tabs>
        <w:autoSpaceDN w:val="0"/>
        <w:spacing w:line="360" w:lineRule="auto"/>
        <w:contextualSpacing/>
        <w:rPr>
          <w:color w:val="000000"/>
        </w:rPr>
      </w:pPr>
      <w:r>
        <w:rPr>
          <w:color w:val="000000"/>
          <w:sz w:val="24"/>
        </w:rPr>
        <w:t>检索表的编写与应用。</w:t>
      </w:r>
    </w:p>
    <w:p w14:paraId="0CFC63CA">
      <w:pPr>
        <w:numPr>
          <w:ilvl w:val="0"/>
          <w:numId w:val="2"/>
        </w:numPr>
        <w:tabs>
          <w:tab w:val="left" w:pos="720"/>
          <w:tab w:val="left" w:pos="10490"/>
        </w:tabs>
        <w:autoSpaceDN w:val="0"/>
        <w:spacing w:line="360" w:lineRule="auto"/>
        <w:ind w:right="-6"/>
        <w:contextualSpacing/>
        <w:rPr>
          <w:color w:val="000000"/>
        </w:rPr>
      </w:pPr>
      <w:r>
        <w:rPr>
          <w:color w:val="000000"/>
          <w:kern w:val="0"/>
          <w:sz w:val="24"/>
        </w:rPr>
        <w:t>圆口纲及代表种的主要特征。</w:t>
      </w:r>
    </w:p>
    <w:p w14:paraId="1CA384E8">
      <w:pPr>
        <w:numPr>
          <w:ilvl w:val="0"/>
          <w:numId w:val="2"/>
        </w:numPr>
        <w:tabs>
          <w:tab w:val="left" w:pos="720"/>
          <w:tab w:val="left" w:pos="10490"/>
        </w:tabs>
        <w:autoSpaceDN w:val="0"/>
        <w:spacing w:line="360" w:lineRule="auto"/>
        <w:ind w:right="-6"/>
        <w:contextualSpacing/>
        <w:rPr>
          <w:color w:val="000000"/>
        </w:rPr>
      </w:pPr>
      <w:r>
        <w:rPr>
          <w:color w:val="000000"/>
          <w:kern w:val="0"/>
          <w:sz w:val="24"/>
        </w:rPr>
        <w:t>软骨鱼纲及各亚纲、总目、目、科、属、代表种的主要特征与生物学特性。</w:t>
      </w:r>
    </w:p>
    <w:p w14:paraId="1EF7FD20">
      <w:pPr>
        <w:numPr>
          <w:ilvl w:val="0"/>
          <w:numId w:val="2"/>
        </w:numPr>
        <w:tabs>
          <w:tab w:val="left" w:pos="720"/>
          <w:tab w:val="left" w:pos="10490"/>
        </w:tabs>
        <w:autoSpaceDN w:val="0"/>
        <w:spacing w:line="360" w:lineRule="auto"/>
        <w:ind w:right="-6"/>
        <w:contextualSpacing/>
        <w:rPr>
          <w:b/>
          <w:bCs/>
          <w:sz w:val="28"/>
          <w:szCs w:val="28"/>
        </w:rPr>
      </w:pPr>
      <w:r>
        <w:rPr>
          <w:color w:val="000000"/>
          <w:kern w:val="0"/>
          <w:sz w:val="24"/>
        </w:rPr>
        <w:t>硬骨鱼纲及各亚纲、总目、目、科、属、代表种的主要特征与生物学特性。</w:t>
      </w:r>
    </w:p>
    <w:p w14:paraId="073C61D2">
      <w:pPr>
        <w:rPr>
          <w:color w:val="FF0000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C4CD3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2AD03116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C116E"/>
    <w:multiLevelType w:val="multilevel"/>
    <w:tmpl w:val="0AAC116E"/>
    <w:lvl w:ilvl="0" w:tentative="0">
      <w:start w:val="1"/>
      <w:numFmt w:val="decimal"/>
      <w:lvlText w:val="（%1）"/>
      <w:lvlJc w:val="left"/>
      <w:pPr>
        <w:ind w:left="420" w:hanging="42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EB60F44"/>
    <w:multiLevelType w:val="multilevel"/>
    <w:tmpl w:val="3EB60F44"/>
    <w:lvl w:ilvl="0" w:tentative="0">
      <w:start w:val="1"/>
      <w:numFmt w:val="decimal"/>
      <w:lvlText w:val="（%1）"/>
      <w:lvlJc w:val="left"/>
      <w:pPr>
        <w:ind w:left="420" w:hanging="42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5306C"/>
    <w:rsid w:val="001554B9"/>
    <w:rsid w:val="00206295"/>
    <w:rsid w:val="0027287F"/>
    <w:rsid w:val="002A7C88"/>
    <w:rsid w:val="00302251"/>
    <w:rsid w:val="00342429"/>
    <w:rsid w:val="00387A92"/>
    <w:rsid w:val="003D5A8B"/>
    <w:rsid w:val="004D2E58"/>
    <w:rsid w:val="00530EBC"/>
    <w:rsid w:val="005D608F"/>
    <w:rsid w:val="005E2269"/>
    <w:rsid w:val="00746846"/>
    <w:rsid w:val="007734A1"/>
    <w:rsid w:val="0077715F"/>
    <w:rsid w:val="0088661A"/>
    <w:rsid w:val="008E26A5"/>
    <w:rsid w:val="008F57B7"/>
    <w:rsid w:val="00A22D5E"/>
    <w:rsid w:val="00A45628"/>
    <w:rsid w:val="00A5275B"/>
    <w:rsid w:val="00BE6ED4"/>
    <w:rsid w:val="00E63415"/>
    <w:rsid w:val="00EA3905"/>
    <w:rsid w:val="00F213BF"/>
    <w:rsid w:val="00F70488"/>
    <w:rsid w:val="00FA5FE4"/>
    <w:rsid w:val="0C617C65"/>
    <w:rsid w:val="129B61D8"/>
    <w:rsid w:val="136D48AC"/>
    <w:rsid w:val="16A27D67"/>
    <w:rsid w:val="174848EB"/>
    <w:rsid w:val="18541252"/>
    <w:rsid w:val="1B850F5C"/>
    <w:rsid w:val="20F47472"/>
    <w:rsid w:val="21E42A58"/>
    <w:rsid w:val="255D3B3D"/>
    <w:rsid w:val="267A2156"/>
    <w:rsid w:val="2F2F703D"/>
    <w:rsid w:val="2F7C7FBE"/>
    <w:rsid w:val="2FA03B8C"/>
    <w:rsid w:val="33C47DCB"/>
    <w:rsid w:val="36046551"/>
    <w:rsid w:val="37F0607D"/>
    <w:rsid w:val="3DF94D62"/>
    <w:rsid w:val="4B1328B7"/>
    <w:rsid w:val="4E027BF4"/>
    <w:rsid w:val="533A26AB"/>
    <w:rsid w:val="53CF5AC9"/>
    <w:rsid w:val="55833D2C"/>
    <w:rsid w:val="55944A0F"/>
    <w:rsid w:val="56AF40CB"/>
    <w:rsid w:val="5F593708"/>
    <w:rsid w:val="61C743D6"/>
    <w:rsid w:val="637850BA"/>
    <w:rsid w:val="64EB2AB5"/>
    <w:rsid w:val="6CB95A5F"/>
    <w:rsid w:val="6D41420B"/>
    <w:rsid w:val="6E604605"/>
    <w:rsid w:val="74500B07"/>
    <w:rsid w:val="781C50E7"/>
    <w:rsid w:val="78B56269"/>
    <w:rsid w:val="7AE558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1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unhideWhenUsed/>
    <w:uiPriority w:val="99"/>
    <w:pPr>
      <w:jc w:val="left"/>
    </w:pPr>
  </w:style>
  <w:style w:type="paragraph" w:styleId="5">
    <w:name w:val="Balloon Text"/>
    <w:basedOn w:val="1"/>
    <w:link w:val="17"/>
    <w:unhideWhenUsed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annotation subject"/>
    <w:basedOn w:val="4"/>
    <w:next w:val="4"/>
    <w:link w:val="20"/>
    <w:unhideWhenUsed/>
    <w:uiPriority w:val="99"/>
    <w:rPr>
      <w:b/>
      <w:bCs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annotation reference"/>
    <w:unhideWhenUsed/>
    <w:uiPriority w:val="99"/>
    <w:rPr>
      <w:sz w:val="21"/>
      <w:szCs w:val="21"/>
    </w:rPr>
  </w:style>
  <w:style w:type="character" w:customStyle="1" w:styleId="14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5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6">
    <w:name w:val="批注文字 字符"/>
    <w:link w:val="4"/>
    <w:uiPriority w:val="99"/>
    <w:rPr>
      <w:kern w:val="2"/>
      <w:sz w:val="21"/>
      <w:szCs w:val="22"/>
    </w:rPr>
  </w:style>
  <w:style w:type="character" w:customStyle="1" w:styleId="17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18">
    <w:name w:val="页脚 字符"/>
    <w:link w:val="6"/>
    <w:uiPriority w:val="99"/>
    <w:rPr>
      <w:sz w:val="18"/>
      <w:szCs w:val="18"/>
    </w:rPr>
  </w:style>
  <w:style w:type="character" w:customStyle="1" w:styleId="19">
    <w:name w:val="页眉 字符"/>
    <w:link w:val="7"/>
    <w:semiHidden/>
    <w:uiPriority w:val="99"/>
    <w:rPr>
      <w:sz w:val="18"/>
      <w:szCs w:val="18"/>
    </w:rPr>
  </w:style>
  <w:style w:type="character" w:customStyle="1" w:styleId="20">
    <w:name w:val="批注主题 字符"/>
    <w:link w:val="9"/>
    <w:semiHidden/>
    <w:uiPriority w:val="99"/>
    <w:rPr>
      <w:b/>
      <w:bCs/>
      <w:kern w:val="2"/>
      <w:sz w:val="21"/>
      <w:szCs w:val="22"/>
    </w:rPr>
  </w:style>
  <w:style w:type="paragraph" w:styleId="21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22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1119</Words>
  <Characters>1129</Characters>
  <Lines>101</Lines>
  <Paragraphs>28</Paragraphs>
  <TotalTime>0</TotalTime>
  <ScaleCrop>false</ScaleCrop>
  <LinksUpToDate>false</LinksUpToDate>
  <CharactersWithSpaces>1135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2025-07-03T07:59:00Z</dcterms:created>
  <dc:creator>微软用户</dc:creator>
  <cp:lastModifiedBy>李坤伦</cp:lastModifiedBy>
  <dcterms:modified xsi:type="dcterms:W3CDTF">2026-06-30T14:10:21Z</dcterms:modified>
  <dc:title>附件7：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C1DA41378A3047BBB024063A004D3DE2_13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