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B3248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69030911"/>
      <w:bookmarkStart w:id="1" w:name="_Toc178782230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825 应用地球物理学基础</w:t>
      </w:r>
      <w:bookmarkEnd w:id="0"/>
      <w:bookmarkEnd w:id="1"/>
    </w:p>
    <w:p w14:paraId="6D28CED6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27774620">
      <w:pPr>
        <w:snapToGrid w:val="0"/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一、考试性质</w:t>
      </w:r>
    </w:p>
    <w:p w14:paraId="699D8F06">
      <w:pPr>
        <w:snapToGrid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《应用地球物理学基础》是地质资源与地质工程（081800）</w:t>
      </w:r>
      <w:r>
        <w:rPr>
          <w:rFonts w:hint="eastAsia" w:ascii="宋体" w:hAnsi="宋体"/>
          <w:sz w:val="24"/>
          <w:szCs w:val="24"/>
        </w:rPr>
        <w:t>硕士研究生入学考试的初试课程</w:t>
      </w:r>
      <w:r>
        <w:rPr>
          <w:rFonts w:hint="eastAsia"/>
          <w:sz w:val="24"/>
          <w:szCs w:val="24"/>
        </w:rPr>
        <w:t>。</w:t>
      </w:r>
    </w:p>
    <w:p w14:paraId="40594B3C">
      <w:pPr>
        <w:snapToGrid w:val="0"/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二、考查目标</w:t>
      </w:r>
    </w:p>
    <w:p w14:paraId="6E4101AD">
      <w:pPr>
        <w:snapToGrid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考查学生系统掌握重力、磁法、电法和地震等应用地球物理学勘探方法的基本概念、基本原理和基本方法。</w:t>
      </w:r>
    </w:p>
    <w:p w14:paraId="102321AB">
      <w:pPr>
        <w:snapToGrid w:val="0"/>
        <w:spacing w:line="360" w:lineRule="auto"/>
        <w:rPr>
          <w:rFonts w:ascii="宋体" w:hAnsi="宋体" w:cs="黑体"/>
          <w:b/>
          <w:bCs/>
          <w:sz w:val="28"/>
          <w:szCs w:val="28"/>
        </w:rPr>
      </w:pPr>
      <w:r>
        <w:rPr>
          <w:rFonts w:hint="eastAsia" w:ascii="宋体" w:hAnsi="宋体" w:cs="黑体"/>
          <w:b/>
          <w:bCs/>
          <w:sz w:val="28"/>
          <w:szCs w:val="28"/>
        </w:rPr>
        <w:t>三、考试</w:t>
      </w:r>
      <w:r>
        <w:rPr>
          <w:rFonts w:ascii="宋体" w:hAnsi="宋体" w:cs="黑体"/>
          <w:b/>
          <w:bCs/>
          <w:sz w:val="28"/>
          <w:szCs w:val="28"/>
        </w:rPr>
        <w:t>形式</w:t>
      </w:r>
    </w:p>
    <w:p w14:paraId="19BBAB3F">
      <w:pPr>
        <w:snapToGrid w:val="0"/>
        <w:spacing w:line="360" w:lineRule="auto"/>
        <w:ind w:firstLine="480" w:firstLineChars="200"/>
        <w:rPr>
          <w:rFonts w:ascii="宋体" w:hAnsi="宋体" w:cs="黑体"/>
          <w:bCs/>
          <w:sz w:val="24"/>
          <w:szCs w:val="24"/>
        </w:rPr>
      </w:pPr>
      <w:r>
        <w:rPr>
          <w:rFonts w:hint="eastAsia" w:ascii="宋体" w:hAnsi="宋体" w:cs="黑体"/>
          <w:bCs/>
          <w:sz w:val="24"/>
          <w:szCs w:val="24"/>
        </w:rPr>
        <w:t>本考试为闭卷考试，满分150分，考试时间180分钟。</w:t>
      </w:r>
    </w:p>
    <w:p w14:paraId="54D4D0AB">
      <w:pPr>
        <w:spacing w:line="360" w:lineRule="auto"/>
        <w:rPr>
          <w:rFonts w:ascii="宋体" w:hAnsi="宋体" w:cs="黑体"/>
          <w:b/>
          <w:bCs/>
          <w:sz w:val="28"/>
          <w:szCs w:val="28"/>
        </w:rPr>
      </w:pPr>
      <w:r>
        <w:rPr>
          <w:rFonts w:hint="eastAsia" w:ascii="宋体" w:hAnsi="宋体" w:cs="黑体"/>
          <w:b/>
          <w:bCs/>
          <w:sz w:val="28"/>
          <w:szCs w:val="28"/>
        </w:rPr>
        <w:t>四、</w:t>
      </w:r>
      <w:r>
        <w:rPr>
          <w:rFonts w:ascii="宋体" w:hAnsi="宋体" w:cs="黑体"/>
          <w:b/>
          <w:bCs/>
          <w:sz w:val="28"/>
          <w:szCs w:val="28"/>
        </w:rPr>
        <w:t>考试内容</w:t>
      </w:r>
    </w:p>
    <w:p w14:paraId="670FCF21">
      <w:pPr>
        <w:spacing w:line="360" w:lineRule="auto"/>
        <w:rPr>
          <w:rFonts w:ascii="宋体" w:hAnsi="宋体" w:cs="黑体"/>
          <w:bCs/>
          <w:sz w:val="24"/>
          <w:szCs w:val="28"/>
        </w:rPr>
      </w:pPr>
      <w:r>
        <w:rPr>
          <w:rFonts w:hint="eastAsia" w:ascii="宋体" w:hAnsi="宋体" w:cs="黑体"/>
          <w:bCs/>
          <w:sz w:val="24"/>
          <w:szCs w:val="28"/>
        </w:rPr>
        <w:t>（一）重力勘探</w:t>
      </w:r>
    </w:p>
    <w:p w14:paraId="0DC4C84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1.地球重力场：重力、重力场、重力位</w:t>
      </w:r>
      <w:r>
        <w:rPr>
          <w:rFonts w:hint="eastAsia" w:ascii="宋体" w:hAnsi="宋体"/>
          <w:sz w:val="24"/>
          <w:szCs w:val="24"/>
          <w:lang w:val="en-US" w:eastAsia="zh-CN"/>
        </w:rPr>
        <w:t>等</w:t>
      </w:r>
      <w:r>
        <w:rPr>
          <w:rFonts w:hint="eastAsia" w:ascii="宋体" w:hAnsi="宋体"/>
          <w:sz w:val="24"/>
          <w:szCs w:val="24"/>
        </w:rPr>
        <w:t>概念、特征；地球重力场变化规律，地球正常重力场、重力异常</w:t>
      </w:r>
      <w:r>
        <w:rPr>
          <w:rFonts w:hint="eastAsia" w:ascii="宋体" w:hAnsi="宋体"/>
          <w:sz w:val="24"/>
          <w:szCs w:val="24"/>
          <w:lang w:val="en-US" w:eastAsia="zh-CN"/>
        </w:rPr>
        <w:t>等</w:t>
      </w:r>
      <w:r>
        <w:rPr>
          <w:rFonts w:hint="eastAsia" w:ascii="宋体" w:hAnsi="宋体"/>
          <w:sz w:val="24"/>
          <w:szCs w:val="24"/>
        </w:rPr>
        <w:t>概念。</w:t>
      </w:r>
    </w:p>
    <w:p w14:paraId="56FA00B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</w:t>
      </w:r>
      <w:r>
        <w:rPr>
          <w:rFonts w:hint="eastAsia"/>
          <w:sz w:val="24"/>
          <w:szCs w:val="24"/>
        </w:rPr>
        <w:t>岩（矿）石密度：</w:t>
      </w:r>
      <w:r>
        <w:rPr>
          <w:rFonts w:hint="eastAsia" w:ascii="宋体" w:hAnsi="宋体"/>
          <w:sz w:val="24"/>
          <w:szCs w:val="24"/>
        </w:rPr>
        <w:t>决定岩矿石密度的主要因素；三大岩的密度特征。</w:t>
      </w:r>
    </w:p>
    <w:p w14:paraId="4C0F5D7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</w:rPr>
        <w:t>.重力测量技术：绝对重力仪、相对重力仪的原理，基点（网）的布设与联测；陆地和海洋重力测线设计原则和测量方法。</w:t>
      </w:r>
    </w:p>
    <w:p w14:paraId="48EDA5AE">
      <w:pPr>
        <w:spacing w:line="360" w:lineRule="auto"/>
        <w:ind w:firstLine="480" w:firstLineChars="200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</w:rPr>
        <w:t>.</w:t>
      </w:r>
      <w:r>
        <w:rPr>
          <w:rFonts w:hint="eastAsia"/>
          <w:sz w:val="24"/>
          <w:szCs w:val="24"/>
        </w:rPr>
        <w:t>重力异常的计算、处理和解释：</w:t>
      </w:r>
      <w:r>
        <w:rPr>
          <w:rFonts w:hint="eastAsia" w:ascii="宋体" w:hAnsi="宋体"/>
          <w:sz w:val="24"/>
          <w:szCs w:val="24"/>
        </w:rPr>
        <w:t>规则形体（球体、水平圆柱体、铅垂台阶、水平矩形棱柱体、直立长方体）重力异常及其导数的计算和异常特征。重力基点网平差；重力仪零点漂移改正、厄特弗斯改正、地形校正、中间层校正、高度校正、纬度校正的原理；自由空气异常、布格异常、均衡重力异常的地质地球物理意义。局部异常和区域异常的概念、特征；对重力异常数据进行处理的解析延拓法、高阶导数法的原理和作用。典型地质体和构造的重力异常特征；异常识别和解释。</w:t>
      </w:r>
    </w:p>
    <w:p w14:paraId="0F11A403">
      <w:pPr>
        <w:spacing w:line="360" w:lineRule="auto"/>
        <w:rPr>
          <w:rFonts w:ascii="宋体" w:hAnsi="宋体" w:cs="黑体"/>
          <w:bCs/>
          <w:sz w:val="24"/>
          <w:szCs w:val="32"/>
        </w:rPr>
      </w:pPr>
      <w:r>
        <w:rPr>
          <w:rFonts w:hint="eastAsia" w:ascii="宋体" w:hAnsi="宋体" w:cs="黑体"/>
          <w:bCs/>
          <w:sz w:val="24"/>
          <w:szCs w:val="32"/>
        </w:rPr>
        <w:t>（二）磁法勘探</w:t>
      </w:r>
    </w:p>
    <w:p w14:paraId="4954F01B">
      <w:pPr>
        <w:pStyle w:val="25"/>
        <w:snapToGrid w:val="0"/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1.</w:t>
      </w:r>
      <w:r>
        <w:rPr>
          <w:rFonts w:hint="eastAsia" w:ascii="宋体" w:hAnsi="宋体" w:eastAsia="宋体"/>
          <w:sz w:val="24"/>
        </w:rPr>
        <w:t>地磁场：地磁场的分布特征、组成、变化规律；地磁要素、地磁图等概念。</w:t>
      </w:r>
    </w:p>
    <w:p w14:paraId="4E0377B6">
      <w:pPr>
        <w:pStyle w:val="25"/>
        <w:snapToGrid w:val="0"/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</w:t>
      </w:r>
      <w:r>
        <w:rPr>
          <w:rFonts w:hint="eastAsia" w:ascii="宋体" w:hAnsi="宋体" w:eastAsia="宋体"/>
          <w:sz w:val="24"/>
        </w:rPr>
        <w:t>岩石磁性：表征岩石磁性的几个物理量；岩、矿石磁性特点；影响岩石磁性的因素；岩石磁性的产生及磁性测定方法。</w:t>
      </w:r>
    </w:p>
    <w:p w14:paraId="46FFFB61">
      <w:pPr>
        <w:pStyle w:val="25"/>
        <w:snapToGrid w:val="0"/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3.</w:t>
      </w:r>
      <w:r>
        <w:rPr>
          <w:rFonts w:hint="eastAsia" w:ascii="宋体" w:hAnsi="宋体" w:eastAsia="宋体"/>
          <w:sz w:val="24"/>
        </w:rPr>
        <w:t>磁测工作方法：质子磁力仪、光泵磁力仪、磁通门磁力仪的测量原理；</w:t>
      </w:r>
    </w:p>
    <w:p w14:paraId="1EE7D780">
      <w:pPr>
        <w:pStyle w:val="25"/>
        <w:snapToGrid w:val="0"/>
        <w:spacing w:line="360" w:lineRule="auto"/>
        <w:ind w:firstLine="0" w:firstLineChars="0"/>
        <w:rPr>
          <w:rFonts w:ascii="宋体" w:hAnsi="宋体" w:eastAsia="宋体"/>
          <w:sz w:val="24"/>
        </w:rPr>
      </w:pPr>
      <w:r>
        <w:rPr>
          <w:rFonts w:eastAsia="宋体"/>
          <w:sz w:val="24"/>
        </w:rPr>
        <w:t>ΔT</w:t>
      </w:r>
      <w:r>
        <w:rPr>
          <w:rFonts w:hint="eastAsia" w:ascii="宋体" w:hAnsi="宋体" w:eastAsia="宋体"/>
          <w:sz w:val="24"/>
        </w:rPr>
        <w:t>的物理意义。磁测野外工作设计（测网布设、测量比例尺、测量精度）；磁测野外工作方法（地面磁测和海上磁测）。</w:t>
      </w:r>
    </w:p>
    <w:p w14:paraId="446EE63B">
      <w:pPr>
        <w:pStyle w:val="25"/>
        <w:snapToGrid w:val="0"/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4.</w:t>
      </w:r>
      <w:r>
        <w:rPr>
          <w:rFonts w:hint="eastAsia" w:ascii="宋体" w:hAnsi="宋体" w:eastAsia="宋体"/>
          <w:sz w:val="24"/>
        </w:rPr>
        <w:t>磁异常的计算、处理和解释：磁异常正问题概念、有效磁化强度矢量与总强度磁异常</w:t>
      </w:r>
      <w:r>
        <w:rPr>
          <w:rFonts w:eastAsia="宋体"/>
          <w:sz w:val="24"/>
        </w:rPr>
        <w:t>ΔT</w:t>
      </w:r>
      <w:r>
        <w:rPr>
          <w:rFonts w:hint="eastAsia" w:ascii="宋体" w:hAnsi="宋体" w:eastAsia="宋体"/>
          <w:sz w:val="24"/>
        </w:rPr>
        <w:t>的关系、几种规则形体磁异常特征（球体、水平圆柱体、板状体）。磁异常解析延拓、方向导数</w:t>
      </w:r>
      <w:r>
        <w:rPr>
          <w:rFonts w:hint="eastAsia" w:ascii="宋体" w:hAnsi="宋体" w:eastAsia="宋体"/>
          <w:sz w:val="24"/>
          <w:lang w:val="en-US" w:eastAsia="zh-CN"/>
        </w:rPr>
        <w:t>等</w:t>
      </w:r>
      <w:r>
        <w:rPr>
          <w:rFonts w:hint="eastAsia" w:ascii="宋体" w:hAnsi="宋体" w:eastAsia="宋体"/>
          <w:sz w:val="24"/>
        </w:rPr>
        <w:t>基本原理。典型地质体和构造的磁异常特征。</w:t>
      </w:r>
    </w:p>
    <w:p w14:paraId="54C21D3A">
      <w:pPr>
        <w:spacing w:line="360" w:lineRule="auto"/>
        <w:rPr>
          <w:rFonts w:ascii="宋体" w:hAnsi="宋体" w:cs="黑体"/>
          <w:bCs/>
          <w:sz w:val="24"/>
          <w:szCs w:val="32"/>
        </w:rPr>
      </w:pPr>
      <w:r>
        <w:rPr>
          <w:rFonts w:hint="eastAsia" w:ascii="宋体" w:hAnsi="宋体" w:cs="黑体"/>
          <w:bCs/>
          <w:sz w:val="24"/>
          <w:szCs w:val="32"/>
        </w:rPr>
        <w:t>（三）电法勘探</w:t>
      </w:r>
    </w:p>
    <w:p w14:paraId="72218E65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</w:t>
      </w:r>
      <w:r>
        <w:rPr>
          <w:rFonts w:hint="eastAsia" w:ascii="宋体" w:hAnsi="宋体"/>
          <w:sz w:val="24"/>
        </w:rPr>
        <w:t>岩矿石的电磁性质：岩矿石的导电、介电、自然极化及激发极化性质。</w:t>
      </w:r>
    </w:p>
    <w:p w14:paraId="25366896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  <w:r>
        <w:rPr>
          <w:rFonts w:hint="eastAsia" w:ascii="宋体" w:hAnsi="宋体"/>
          <w:sz w:val="24"/>
        </w:rPr>
        <w:t>均匀介质中的地电场：稳定电流场基本</w:t>
      </w:r>
      <w:r>
        <w:rPr>
          <w:rFonts w:ascii="宋体" w:hAnsi="宋体"/>
          <w:sz w:val="24"/>
        </w:rPr>
        <w:t>性质及边界条件</w:t>
      </w:r>
      <w:r>
        <w:rPr>
          <w:rFonts w:hint="eastAsia" w:ascii="宋体" w:hAnsi="宋体"/>
          <w:sz w:val="24"/>
        </w:rPr>
        <w:t>，</w:t>
      </w:r>
      <w:r>
        <w:rPr>
          <w:rFonts w:ascii="宋体" w:hAnsi="宋体"/>
          <w:sz w:val="24"/>
        </w:rPr>
        <w:t>推导</w:t>
      </w:r>
      <w:r>
        <w:rPr>
          <w:rFonts w:hint="eastAsia" w:ascii="宋体" w:hAnsi="宋体"/>
          <w:sz w:val="24"/>
        </w:rPr>
        <w:t>麦克斯韦</w:t>
      </w:r>
      <w:r>
        <w:rPr>
          <w:rFonts w:ascii="宋体" w:hAnsi="宋体"/>
          <w:sz w:val="24"/>
        </w:rPr>
        <w:t>方程组</w:t>
      </w:r>
      <w:r>
        <w:rPr>
          <w:rFonts w:hint="eastAsia" w:ascii="宋体" w:hAnsi="宋体"/>
          <w:sz w:val="24"/>
        </w:rPr>
        <w:t>，电报方程。</w:t>
      </w:r>
    </w:p>
    <w:p w14:paraId="1BAAB150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3.</w:t>
      </w:r>
      <w:r>
        <w:rPr>
          <w:rFonts w:hint="eastAsia" w:ascii="宋体" w:hAnsi="宋体"/>
          <w:sz w:val="24"/>
        </w:rPr>
        <w:t>电阻率法：视电阻率，视极化率，等效电阻率，电阻率剖面法、电测深法，特定地电断面的剖面特征，高密度电阻率法断面解释</w:t>
      </w:r>
      <w:r>
        <w:rPr>
          <w:rFonts w:hint="eastAsia" w:ascii="宋体" w:hAnsi="宋体"/>
          <w:sz w:val="24"/>
          <w:lang w:val="en-US" w:eastAsia="zh-CN"/>
        </w:rPr>
        <w:t>等</w:t>
      </w:r>
      <w:r>
        <w:rPr>
          <w:rFonts w:hint="eastAsia" w:ascii="宋体" w:hAnsi="宋体"/>
          <w:sz w:val="24"/>
        </w:rPr>
        <w:t>。</w:t>
      </w:r>
    </w:p>
    <w:p w14:paraId="122B5079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</w:t>
      </w:r>
      <w:r>
        <w:rPr>
          <w:rFonts w:ascii="宋体" w:hAnsi="宋体"/>
          <w:sz w:val="24"/>
        </w:rPr>
        <w:t>.</w:t>
      </w:r>
      <w:r>
        <w:rPr>
          <w:rFonts w:hint="eastAsia" w:ascii="宋体" w:hAnsi="宋体"/>
          <w:sz w:val="24"/>
        </w:rPr>
        <w:t>充电法及激发极化法：充电法及应用条件，激发极化场，激发极化法应用。</w:t>
      </w:r>
    </w:p>
    <w:p w14:paraId="7644C364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5.</w:t>
      </w:r>
      <w:r>
        <w:rPr>
          <w:rFonts w:hint="eastAsia" w:ascii="宋体" w:hAnsi="宋体"/>
          <w:sz w:val="24"/>
        </w:rPr>
        <w:t>大地电磁测深法：大地电磁场的场源，趋肤深度</w:t>
      </w:r>
      <w:r>
        <w:rPr>
          <w:rFonts w:ascii="宋体" w:hAnsi="宋体"/>
          <w:sz w:val="24"/>
        </w:rPr>
        <w:t>，</w:t>
      </w:r>
      <w:r>
        <w:rPr>
          <w:rFonts w:hint="eastAsia" w:ascii="宋体" w:hAnsi="宋体"/>
          <w:sz w:val="24"/>
        </w:rPr>
        <w:t>大地电磁场视电阻率，</w:t>
      </w:r>
      <w:r>
        <w:rPr>
          <w:rFonts w:ascii="宋体" w:hAnsi="宋体"/>
          <w:sz w:val="24"/>
        </w:rPr>
        <w:t>张量阻抗</w:t>
      </w:r>
      <w:r>
        <w:rPr>
          <w:rFonts w:hint="eastAsia" w:ascii="宋体" w:hAnsi="宋体"/>
          <w:sz w:val="24"/>
        </w:rPr>
        <w:t>，确定</w:t>
      </w:r>
      <w:r>
        <w:rPr>
          <w:rFonts w:ascii="宋体" w:hAnsi="宋体"/>
          <w:sz w:val="24"/>
        </w:rPr>
        <w:t>电性主轴的方法</w:t>
      </w:r>
      <w:r>
        <w:rPr>
          <w:rFonts w:hint="eastAsia" w:ascii="宋体" w:hAnsi="宋体"/>
          <w:sz w:val="24"/>
        </w:rPr>
        <w:t>，海洋大地电磁测深仪和数据处理流程。</w:t>
      </w:r>
    </w:p>
    <w:p w14:paraId="6AE90AA6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6.</w:t>
      </w:r>
      <w:r>
        <w:rPr>
          <w:rFonts w:hint="eastAsia" w:ascii="宋体" w:hAnsi="宋体"/>
          <w:sz w:val="24"/>
        </w:rPr>
        <w:t>可控源</w:t>
      </w:r>
      <w:r>
        <w:rPr>
          <w:rFonts w:ascii="宋体" w:hAnsi="宋体"/>
          <w:sz w:val="24"/>
        </w:rPr>
        <w:t>电磁场</w:t>
      </w:r>
      <w:r>
        <w:rPr>
          <w:rFonts w:hint="eastAsia" w:ascii="宋体" w:hAnsi="宋体"/>
          <w:sz w:val="24"/>
        </w:rPr>
        <w:t>：瞬变电磁法</w:t>
      </w:r>
      <w:r>
        <w:rPr>
          <w:rFonts w:ascii="宋体" w:hAnsi="宋体"/>
          <w:sz w:val="24"/>
        </w:rPr>
        <w:t>渐近分析</w:t>
      </w:r>
      <w:r>
        <w:rPr>
          <w:rFonts w:hint="eastAsia" w:ascii="宋体" w:hAnsi="宋体"/>
          <w:sz w:val="24"/>
        </w:rPr>
        <w:t>，海洋可控源电磁法特点。</w:t>
      </w:r>
    </w:p>
    <w:p w14:paraId="02C99991">
      <w:pPr>
        <w:spacing w:line="360" w:lineRule="auto"/>
        <w:rPr>
          <w:rFonts w:ascii="宋体" w:hAnsi="宋体" w:cs="黑体"/>
          <w:bCs/>
          <w:sz w:val="24"/>
          <w:szCs w:val="32"/>
        </w:rPr>
      </w:pPr>
      <w:r>
        <w:rPr>
          <w:rFonts w:hint="eastAsia" w:ascii="宋体" w:hAnsi="宋体" w:cs="黑体"/>
          <w:bCs/>
          <w:sz w:val="24"/>
          <w:szCs w:val="32"/>
        </w:rPr>
        <w:t>（四）地震勘探</w:t>
      </w:r>
    </w:p>
    <w:p w14:paraId="0E14ACA7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</w:t>
      </w:r>
      <w:r>
        <w:rPr>
          <w:rFonts w:hint="eastAsia" w:ascii="宋体" w:hAnsi="宋体"/>
          <w:sz w:val="24"/>
        </w:rPr>
        <w:t>地震勘探三大环节及其内在联系，地震勘探解决的主要问题</w:t>
      </w:r>
      <w:r>
        <w:rPr>
          <w:rFonts w:hint="eastAsia" w:ascii="宋体" w:hAnsi="宋体"/>
          <w:sz w:val="24"/>
          <w:lang w:val="en-US" w:eastAsia="zh-CN"/>
        </w:rPr>
        <w:t>等</w:t>
      </w:r>
      <w:r>
        <w:rPr>
          <w:rFonts w:hint="eastAsia" w:ascii="宋体" w:hAnsi="宋体"/>
          <w:sz w:val="24"/>
        </w:rPr>
        <w:t>。</w:t>
      </w:r>
    </w:p>
    <w:p w14:paraId="30188126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  <w:r>
        <w:rPr>
          <w:rFonts w:hint="eastAsia" w:ascii="宋体" w:hAnsi="宋体"/>
          <w:sz w:val="24"/>
        </w:rPr>
        <w:t>动力地震学的基本假设，地震波动力学基本概念，地震波的类型及特点。</w:t>
      </w:r>
    </w:p>
    <w:p w14:paraId="52D5F90C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3.</w:t>
      </w:r>
      <w:r>
        <w:rPr>
          <w:rFonts w:hint="eastAsia" w:ascii="宋体" w:hAnsi="宋体"/>
          <w:sz w:val="24"/>
        </w:rPr>
        <w:t>地震波运动学基本概念，反射波运动学，折射波运动学，</w:t>
      </w:r>
      <w:r>
        <w:rPr>
          <w:sz w:val="24"/>
        </w:rPr>
        <w:t>VSP</w:t>
      </w:r>
      <w:r>
        <w:rPr>
          <w:rFonts w:hint="eastAsia" w:ascii="宋体" w:hAnsi="宋体"/>
          <w:sz w:val="24"/>
        </w:rPr>
        <w:t>上行波与下</w:t>
      </w:r>
      <w:bookmarkStart w:id="2" w:name="_GoBack"/>
      <w:bookmarkEnd w:id="2"/>
      <w:r>
        <w:rPr>
          <w:rFonts w:hint="eastAsia" w:ascii="宋体" w:hAnsi="宋体"/>
          <w:sz w:val="24"/>
        </w:rPr>
        <w:t>行波。</w:t>
      </w:r>
    </w:p>
    <w:p w14:paraId="19E9C67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4.</w:t>
      </w:r>
      <w:r>
        <w:rPr>
          <w:rFonts w:hint="eastAsia" w:ascii="宋体" w:hAnsi="宋体"/>
          <w:sz w:val="24"/>
        </w:rPr>
        <w:t>地震波信号及频谱特征，海、陆震源类型及特点，地震信号的激发与接收。</w:t>
      </w:r>
    </w:p>
    <w:p w14:paraId="547A11A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5.</w:t>
      </w:r>
      <w:r>
        <w:rPr>
          <w:rFonts w:hint="eastAsia" w:ascii="宋体" w:hAnsi="宋体"/>
          <w:sz w:val="24"/>
        </w:rPr>
        <w:t>地震勘探野外生产工作步骤，试验工作内容，低（降）速带测定方法，观测系统布设，多次覆盖野外工作方法。</w:t>
      </w:r>
    </w:p>
    <w:p w14:paraId="77BBA0AB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6.</w:t>
      </w:r>
      <w:r>
        <w:rPr>
          <w:rFonts w:hint="eastAsia" w:ascii="宋体" w:hAnsi="宋体"/>
          <w:sz w:val="24"/>
        </w:rPr>
        <w:t>海洋地震勘探基本原理、工作特点及特殊干扰波。</w:t>
      </w:r>
    </w:p>
    <w:p w14:paraId="64687D97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7.</w:t>
      </w:r>
      <w:r>
        <w:rPr>
          <w:rFonts w:hint="eastAsia" w:ascii="宋体" w:hAnsi="宋体"/>
          <w:sz w:val="24"/>
        </w:rPr>
        <w:t>组合的基本原理、效应、信噪比、类型和优缺点，简单线性组合的特性。</w:t>
      </w:r>
    </w:p>
    <w:p w14:paraId="66154692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8.</w:t>
      </w:r>
      <w:r>
        <w:rPr>
          <w:rFonts w:hint="eastAsia" w:ascii="宋体" w:hAnsi="宋体"/>
          <w:sz w:val="24"/>
        </w:rPr>
        <w:t>动静校正概念及基本原理，共反射点多次叠加原理，多次叠加特性，多次叠加参数的选择，影响叠加效果的因素。</w:t>
      </w:r>
    </w:p>
    <w:p w14:paraId="7228B3E5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9.</w:t>
      </w:r>
      <w:r>
        <w:rPr>
          <w:rFonts w:hint="eastAsia" w:ascii="宋体" w:hAnsi="宋体"/>
          <w:sz w:val="24"/>
        </w:rPr>
        <w:t>地震波在岩层中传播速度的影响因素，几种速度的概念。</w:t>
      </w:r>
    </w:p>
    <w:p w14:paraId="7544DF08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10.</w:t>
      </w:r>
      <w:r>
        <w:rPr>
          <w:rFonts w:hint="eastAsia" w:ascii="宋体" w:hAnsi="宋体"/>
          <w:sz w:val="24"/>
        </w:rPr>
        <w:t xml:space="preserve">地震资料数据处理的基本流程。 </w:t>
      </w:r>
    </w:p>
    <w:p w14:paraId="511F7204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11.</w:t>
      </w:r>
      <w:r>
        <w:rPr>
          <w:rFonts w:hint="eastAsia" w:ascii="宋体" w:hAnsi="宋体"/>
          <w:sz w:val="24"/>
        </w:rPr>
        <w:t>反褶积概念，最小平方反褶积、地震子波的求取和处理、预测反褶积。</w:t>
      </w:r>
    </w:p>
    <w:p w14:paraId="0F3530E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12.</w:t>
      </w:r>
      <w:r>
        <w:rPr>
          <w:rFonts w:hint="eastAsia" w:ascii="宋体" w:hAnsi="宋体"/>
          <w:sz w:val="24"/>
        </w:rPr>
        <w:t>速度谱的基本概念及其分类，叠加速度谱的求取过程。</w:t>
      </w:r>
    </w:p>
    <w:p w14:paraId="015FE85C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13.</w:t>
      </w:r>
      <w:r>
        <w:rPr>
          <w:rFonts w:hint="eastAsia" w:ascii="宋体" w:hAnsi="宋体"/>
          <w:sz w:val="24"/>
        </w:rPr>
        <w:t>水平叠加剖面的特点以及存在的问题，偏移归位的基本原理。</w:t>
      </w:r>
    </w:p>
    <w:p w14:paraId="5010E16C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14.</w:t>
      </w:r>
      <w:r>
        <w:rPr>
          <w:rFonts w:hint="eastAsia" w:ascii="宋体" w:hAnsi="宋体"/>
          <w:sz w:val="24"/>
        </w:rPr>
        <w:t>地震剖面上各种波的识别标志。地震的分辨能力与薄层的概念。合成地震记录制作的基本原理和方法。</w:t>
      </w:r>
    </w:p>
    <w:p w14:paraId="58331992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15.</w:t>
      </w:r>
      <w:r>
        <w:rPr>
          <w:rFonts w:hint="eastAsia" w:ascii="宋体" w:hAnsi="宋体"/>
          <w:sz w:val="24"/>
        </w:rPr>
        <w:t>地震剖面与地质剖面的对应关系。反射标准层具备的条件、确定标准层的方法。反射波对比的基本原则和方法。与复杂地质现象有关的异常波识别。</w:t>
      </w:r>
    </w:p>
    <w:p w14:paraId="6158B69E">
      <w:pPr>
        <w:snapToGrid/>
        <w:spacing w:line="360" w:lineRule="auto"/>
        <w:ind w:firstLine="480" w:firstLineChars="200"/>
        <w:rPr>
          <w:sz w:val="24"/>
        </w:rPr>
      </w:pPr>
      <w:r>
        <w:rPr>
          <w:rFonts w:ascii="宋体" w:hAnsi="宋体"/>
          <w:sz w:val="24"/>
        </w:rPr>
        <w:t>16.</w:t>
      </w:r>
      <w:r>
        <w:rPr>
          <w:rFonts w:hint="eastAsia" w:ascii="宋体" w:hAnsi="宋体"/>
          <w:sz w:val="24"/>
        </w:rPr>
        <w:t>构造解释步骤和流程。断层的识别标志、断层基本要素的确定。不整合的反射特征、几种典型不整合的剖面特征等。</w:t>
      </w:r>
    </w:p>
    <w:p w14:paraId="2C68A209">
      <w:pPr>
        <w:spacing w:line="360" w:lineRule="auto"/>
        <w:ind w:firstLine="420" w:firstLineChars="200"/>
        <w:rPr>
          <w:color w:val="FF000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CFC3D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17</w:t>
    </w:r>
    <w:r>
      <w:fldChar w:fldCharType="end"/>
    </w:r>
  </w:p>
  <w:p w14:paraId="707B1830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AyNbc0NzWyNDGxtLBU0lEKTi0uzszPAykwrAUAPaN1ISwAAAA="/>
    <w:docVar w:name="commondata" w:val="eyJoZGlkIjoiZTg4ODlhYTk2ZDIzNzU3MmE1M2M0Y2Q2ZTkyNDlhMzcifQ=="/>
  </w:docVars>
  <w:rsids>
    <w:rsidRoot w:val="00172A27"/>
    <w:rsid w:val="00004C1C"/>
    <w:rsid w:val="00010A2D"/>
    <w:rsid w:val="00015D51"/>
    <w:rsid w:val="00041A5C"/>
    <w:rsid w:val="0005306C"/>
    <w:rsid w:val="000C4798"/>
    <w:rsid w:val="000D25F9"/>
    <w:rsid w:val="001340D2"/>
    <w:rsid w:val="0016255F"/>
    <w:rsid w:val="0020046A"/>
    <w:rsid w:val="00204ED7"/>
    <w:rsid w:val="00223C3B"/>
    <w:rsid w:val="00247964"/>
    <w:rsid w:val="00255F5A"/>
    <w:rsid w:val="002A09F5"/>
    <w:rsid w:val="002B511B"/>
    <w:rsid w:val="00301497"/>
    <w:rsid w:val="00306F92"/>
    <w:rsid w:val="00324D93"/>
    <w:rsid w:val="00341FB5"/>
    <w:rsid w:val="003468FC"/>
    <w:rsid w:val="0038686C"/>
    <w:rsid w:val="003A747B"/>
    <w:rsid w:val="003C0157"/>
    <w:rsid w:val="003D5A8B"/>
    <w:rsid w:val="0047079D"/>
    <w:rsid w:val="005064A7"/>
    <w:rsid w:val="00530EBC"/>
    <w:rsid w:val="00540474"/>
    <w:rsid w:val="005D608F"/>
    <w:rsid w:val="005E2269"/>
    <w:rsid w:val="005E3810"/>
    <w:rsid w:val="00656601"/>
    <w:rsid w:val="00671486"/>
    <w:rsid w:val="006F129F"/>
    <w:rsid w:val="006F6D05"/>
    <w:rsid w:val="00706981"/>
    <w:rsid w:val="0072360D"/>
    <w:rsid w:val="00754FB4"/>
    <w:rsid w:val="00775FAA"/>
    <w:rsid w:val="0079035F"/>
    <w:rsid w:val="00797B3B"/>
    <w:rsid w:val="007A288E"/>
    <w:rsid w:val="007C009C"/>
    <w:rsid w:val="00816768"/>
    <w:rsid w:val="00835F29"/>
    <w:rsid w:val="00840ED0"/>
    <w:rsid w:val="00883196"/>
    <w:rsid w:val="00886167"/>
    <w:rsid w:val="008A4CA7"/>
    <w:rsid w:val="008B4467"/>
    <w:rsid w:val="008E2E4D"/>
    <w:rsid w:val="008F57B7"/>
    <w:rsid w:val="009163A2"/>
    <w:rsid w:val="00931539"/>
    <w:rsid w:val="00957EB8"/>
    <w:rsid w:val="00990BA2"/>
    <w:rsid w:val="009D3D8E"/>
    <w:rsid w:val="009D522E"/>
    <w:rsid w:val="009E2C07"/>
    <w:rsid w:val="00A00729"/>
    <w:rsid w:val="00A135D0"/>
    <w:rsid w:val="00A24438"/>
    <w:rsid w:val="00A45426"/>
    <w:rsid w:val="00A930C0"/>
    <w:rsid w:val="00AD26D3"/>
    <w:rsid w:val="00AE4D25"/>
    <w:rsid w:val="00B10C52"/>
    <w:rsid w:val="00B434B0"/>
    <w:rsid w:val="00BA69EF"/>
    <w:rsid w:val="00BC68A8"/>
    <w:rsid w:val="00BD2776"/>
    <w:rsid w:val="00C047F6"/>
    <w:rsid w:val="00C26EFA"/>
    <w:rsid w:val="00CA2E19"/>
    <w:rsid w:val="00CA409C"/>
    <w:rsid w:val="00CA43EE"/>
    <w:rsid w:val="00CD78FC"/>
    <w:rsid w:val="00D50B3E"/>
    <w:rsid w:val="00D751CE"/>
    <w:rsid w:val="00DA3E56"/>
    <w:rsid w:val="00DE432B"/>
    <w:rsid w:val="00E70F2B"/>
    <w:rsid w:val="00F31595"/>
    <w:rsid w:val="00F36A85"/>
    <w:rsid w:val="00F4766C"/>
    <w:rsid w:val="00F70488"/>
    <w:rsid w:val="00F82223"/>
    <w:rsid w:val="00F95607"/>
    <w:rsid w:val="00F95881"/>
    <w:rsid w:val="00FB48E9"/>
    <w:rsid w:val="00FD2869"/>
    <w:rsid w:val="00FE5D2C"/>
    <w:rsid w:val="00FF7147"/>
    <w:rsid w:val="040F67E2"/>
    <w:rsid w:val="0A3B4C9C"/>
    <w:rsid w:val="0C617C65"/>
    <w:rsid w:val="103A73F0"/>
    <w:rsid w:val="129B61D8"/>
    <w:rsid w:val="136D48AC"/>
    <w:rsid w:val="146B12DE"/>
    <w:rsid w:val="16A27D67"/>
    <w:rsid w:val="174848EB"/>
    <w:rsid w:val="18541252"/>
    <w:rsid w:val="18C50EAD"/>
    <w:rsid w:val="19FA567F"/>
    <w:rsid w:val="1CFC69FC"/>
    <w:rsid w:val="1E485129"/>
    <w:rsid w:val="20B0570A"/>
    <w:rsid w:val="20F47472"/>
    <w:rsid w:val="21E42A58"/>
    <w:rsid w:val="21F410B3"/>
    <w:rsid w:val="23685A25"/>
    <w:rsid w:val="255D3B3D"/>
    <w:rsid w:val="27FC27CF"/>
    <w:rsid w:val="28B15010"/>
    <w:rsid w:val="2959166E"/>
    <w:rsid w:val="2B1D4DE6"/>
    <w:rsid w:val="2F2F703D"/>
    <w:rsid w:val="2F7C7FBE"/>
    <w:rsid w:val="2FD95878"/>
    <w:rsid w:val="36046551"/>
    <w:rsid w:val="37F0607D"/>
    <w:rsid w:val="388A0A52"/>
    <w:rsid w:val="3C9B1148"/>
    <w:rsid w:val="3DF94D62"/>
    <w:rsid w:val="3EDA1106"/>
    <w:rsid w:val="3F7516AC"/>
    <w:rsid w:val="4B1328B7"/>
    <w:rsid w:val="4E027BF4"/>
    <w:rsid w:val="518840CC"/>
    <w:rsid w:val="533A26AB"/>
    <w:rsid w:val="53CF5AC9"/>
    <w:rsid w:val="55944A0F"/>
    <w:rsid w:val="56AF40CB"/>
    <w:rsid w:val="5AF82474"/>
    <w:rsid w:val="5BDB6A45"/>
    <w:rsid w:val="5D062391"/>
    <w:rsid w:val="5F593708"/>
    <w:rsid w:val="61C743D6"/>
    <w:rsid w:val="637850BA"/>
    <w:rsid w:val="64EB2AB5"/>
    <w:rsid w:val="6CB95A5F"/>
    <w:rsid w:val="6D41420B"/>
    <w:rsid w:val="6E604605"/>
    <w:rsid w:val="6F5F5856"/>
    <w:rsid w:val="6FBA1294"/>
    <w:rsid w:val="74500B07"/>
    <w:rsid w:val="76277FE4"/>
    <w:rsid w:val="781C50E7"/>
    <w:rsid w:val="7ED303DF"/>
    <w:rsid w:val="7F9568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spacing w:line="360" w:lineRule="exact"/>
      <w:jc w:val="center"/>
      <w:outlineLvl w:val="0"/>
    </w:pPr>
    <w:rPr>
      <w:rFonts w:ascii="华文仿宋" w:hAnsi="华文仿宋" w:eastAsia="华文仿宋" w:cs="华文仿宋"/>
      <w:b/>
      <w:bCs/>
      <w:sz w:val="36"/>
      <w:szCs w:val="36"/>
    </w:rPr>
  </w:style>
  <w:style w:type="paragraph" w:styleId="3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unhideWhenUsed/>
    <w:qFormat/>
    <w:uiPriority w:val="99"/>
    <w:pPr>
      <w:jc w:val="left"/>
    </w:pPr>
  </w:style>
  <w:style w:type="paragraph" w:styleId="5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0">
    <w:name w:val="Title"/>
    <w:basedOn w:val="1"/>
    <w:next w:val="1"/>
    <w:link w:val="22"/>
    <w:qFormat/>
    <w:uiPriority w:val="10"/>
    <w:pPr>
      <w:spacing w:line="360" w:lineRule="auto"/>
      <w:outlineLvl w:val="1"/>
    </w:pPr>
    <w:rPr>
      <w:rFonts w:ascii="黑体" w:hAnsi="黑体" w:eastAsia="黑体" w:cs="黑体"/>
      <w:b/>
      <w:bCs/>
      <w:sz w:val="32"/>
      <w:szCs w:val="32"/>
    </w:rPr>
  </w:style>
  <w:style w:type="paragraph" w:styleId="11">
    <w:name w:val="annotation subject"/>
    <w:basedOn w:val="4"/>
    <w:next w:val="4"/>
    <w:link w:val="23"/>
    <w:unhideWhenUsed/>
    <w:qFormat/>
    <w:uiPriority w:val="99"/>
    <w:rPr>
      <w:b/>
      <w:bCs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annotation reference"/>
    <w:unhideWhenUsed/>
    <w:qFormat/>
    <w:uiPriority w:val="99"/>
    <w:rPr>
      <w:sz w:val="21"/>
      <w:szCs w:val="21"/>
    </w:rPr>
  </w:style>
  <w:style w:type="character" w:customStyle="1" w:styleId="16">
    <w:name w:val="标题 1 字符"/>
    <w:link w:val="2"/>
    <w:qFormat/>
    <w:uiPriority w:val="9"/>
    <w:rPr>
      <w:rFonts w:ascii="华文仿宋" w:hAnsi="华文仿宋" w:eastAsia="华文仿宋" w:cs="华文仿宋"/>
      <w:b/>
      <w:bCs/>
      <w:kern w:val="2"/>
      <w:sz w:val="36"/>
      <w:szCs w:val="36"/>
    </w:rPr>
  </w:style>
  <w:style w:type="character" w:customStyle="1" w:styleId="17">
    <w:name w:val="标题 2 字符"/>
    <w:link w:val="3"/>
    <w:semiHidden/>
    <w:qFormat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8">
    <w:name w:val="批注文字 字符"/>
    <w:link w:val="4"/>
    <w:qFormat/>
    <w:uiPriority w:val="99"/>
    <w:rPr>
      <w:kern w:val="2"/>
      <w:sz w:val="21"/>
      <w:szCs w:val="22"/>
    </w:rPr>
  </w:style>
  <w:style w:type="character" w:customStyle="1" w:styleId="19">
    <w:name w:val="批注框文本 字符"/>
    <w:link w:val="5"/>
    <w:semiHidden/>
    <w:qFormat/>
    <w:uiPriority w:val="99"/>
    <w:rPr>
      <w:kern w:val="2"/>
      <w:sz w:val="18"/>
      <w:szCs w:val="18"/>
    </w:rPr>
  </w:style>
  <w:style w:type="character" w:customStyle="1" w:styleId="20">
    <w:name w:val="页脚 字符1"/>
    <w:link w:val="6"/>
    <w:semiHidden/>
    <w:qFormat/>
    <w:uiPriority w:val="99"/>
    <w:rPr>
      <w:sz w:val="18"/>
      <w:szCs w:val="18"/>
    </w:rPr>
  </w:style>
  <w:style w:type="character" w:customStyle="1" w:styleId="21">
    <w:name w:val="页眉 字符"/>
    <w:link w:val="7"/>
    <w:semiHidden/>
    <w:qFormat/>
    <w:uiPriority w:val="99"/>
    <w:rPr>
      <w:sz w:val="18"/>
      <w:szCs w:val="18"/>
    </w:rPr>
  </w:style>
  <w:style w:type="character" w:customStyle="1" w:styleId="22">
    <w:name w:val="标题 字符"/>
    <w:link w:val="10"/>
    <w:qFormat/>
    <w:uiPriority w:val="10"/>
    <w:rPr>
      <w:rFonts w:ascii="黑体" w:hAnsi="黑体" w:eastAsia="黑体" w:cs="黑体"/>
      <w:b/>
      <w:bCs/>
      <w:kern w:val="2"/>
      <w:sz w:val="32"/>
      <w:szCs w:val="32"/>
    </w:rPr>
  </w:style>
  <w:style w:type="character" w:customStyle="1" w:styleId="23">
    <w:name w:val="批注主题 字符"/>
    <w:link w:val="11"/>
    <w:semiHidden/>
    <w:qFormat/>
    <w:uiPriority w:val="99"/>
    <w:rPr>
      <w:b/>
      <w:bCs/>
      <w:kern w:val="2"/>
      <w:sz w:val="21"/>
      <w:szCs w:val="22"/>
    </w:rPr>
  </w:style>
  <w:style w:type="paragraph" w:styleId="24">
    <w:name w:val="List Paragraph"/>
    <w:basedOn w:val="1"/>
    <w:qFormat/>
    <w:uiPriority w:val="34"/>
    <w:pPr>
      <w:ind w:firstLine="420" w:firstLineChars="200"/>
    </w:pPr>
    <w:rPr>
      <w:rFonts w:eastAsia="仿宋_GB2312"/>
      <w:sz w:val="32"/>
      <w:szCs w:val="24"/>
    </w:rPr>
  </w:style>
  <w:style w:type="paragraph" w:customStyle="1" w:styleId="25">
    <w:name w:val="_Style 0"/>
    <w:qFormat/>
    <w:uiPriority w:val="1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26">
    <w:name w:val="_Style 25"/>
    <w:basedOn w:val="2"/>
    <w:next w:val="1"/>
    <w:qFormat/>
    <w:uiPriority w:val="39"/>
    <w:pPr>
      <w:keepNext/>
      <w:keepLines/>
      <w:widowControl/>
      <w:spacing w:before="24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paragraph" w:styleId="27">
    <w:name w:val="No Spacing"/>
    <w:qFormat/>
    <w:uiPriority w:val="1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customStyle="1" w:styleId="28">
    <w:name w:val="页脚 字符"/>
    <w:qFormat/>
    <w:uiPriority w:val="99"/>
  </w:style>
  <w:style w:type="character" w:customStyle="1" w:styleId="29">
    <w:name w:val="标题 字符1"/>
    <w:qFormat/>
    <w:locked/>
    <w:uiPriority w:val="10"/>
    <w:rPr>
      <w:rFonts w:ascii="黑体" w:hAnsi="黑体" w:eastAsia="黑体" w:cs="黑体"/>
      <w:b/>
      <w:bCs/>
      <w:kern w:val="2"/>
      <w:sz w:val="32"/>
      <w:szCs w:val="32"/>
    </w:rPr>
  </w:style>
  <w:style w:type="paragraph" w:customStyle="1" w:styleId="30">
    <w:name w:val="_Style 29"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1618</Words>
  <Characters>1670</Characters>
  <Lines>12</Lines>
  <Paragraphs>3</Paragraphs>
  <TotalTime>0</TotalTime>
  <ScaleCrop>false</ScaleCrop>
  <LinksUpToDate>false</LinksUpToDate>
  <CharactersWithSpaces>1672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2022-08-22T01:32:00Z</dcterms:created>
  <dc:creator>微软用户</dc:creator>
  <cp:lastModifiedBy>邢</cp:lastModifiedBy>
  <dcterms:modified xsi:type="dcterms:W3CDTF">2026-09-10T06:59:45Z</dcterms:modified>
  <dc:title>附件7：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FA85679B2FC04E999669227014954A7F_13</vt:lpwstr>
  </property>
  <property fmtid="{D5CDD505-2E9C-101B-9397-08002B2CF9AE}" pid="4" name="KSOTemplateDocerSaveRecord">
    <vt:lpwstr>eyJoZGlkIjoiNmY2NGEzYmIxY2NkMjU2MWRmODkwNzhjYjkzYzE1MjYiLCJ1c2VySWQiOiI2MjYxMzQ3NzYifQ==</vt:lpwstr>
  </property>
</Properties>
</file>