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B90A53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  <w:bookmarkStart w:id="0" w:name="_Toc112242369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  <w:t>物理化学A</w:t>
      </w:r>
      <w:bookmarkEnd w:id="0"/>
    </w:p>
    <w:p w14:paraId="23109027">
      <w:pPr>
        <w:widowControl/>
        <w:numPr>
          <w:ilvl w:val="0"/>
          <w:numId w:val="1"/>
        </w:numPr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val="en-US" w:eastAsia="zh-CN"/>
        </w:rPr>
      </w:pPr>
    </w:p>
    <w:p w14:paraId="7D6B29B8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5757D97B">
      <w:pPr>
        <w:spacing w:line="360" w:lineRule="auto"/>
        <w:ind w:firstLine="513" w:firstLineChars="214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物理化学是理、工科化学、化工等专业硕士研究生入学考试的专业基础课程。</w:t>
      </w:r>
    </w:p>
    <w:p w14:paraId="32A5F05E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二、考查目标</w:t>
      </w:r>
    </w:p>
    <w:p w14:paraId="6462E7DE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要求考生能系统理解物理化学中的基本概念，牢固</w:t>
      </w:r>
      <w:r>
        <w:rPr>
          <w:rFonts w:ascii="宋体"/>
          <w:sz w:val="24"/>
          <w:szCs w:val="20"/>
        </w:rPr>
        <w:t>掌握物理化学中</w:t>
      </w:r>
      <w:r>
        <w:rPr>
          <w:rFonts w:hint="eastAsia" w:ascii="宋体"/>
          <w:sz w:val="24"/>
          <w:szCs w:val="20"/>
          <w:lang w:eastAsia="zh-CN"/>
        </w:rPr>
        <w:t>的</w:t>
      </w:r>
      <w:r>
        <w:rPr>
          <w:rFonts w:hint="eastAsia" w:ascii="宋体" w:hAnsi="宋体"/>
          <w:sz w:val="24"/>
          <w:szCs w:val="24"/>
        </w:rPr>
        <w:t>基本原理，熟练掌握物理化学中的计算技能和实验操作技能，具备应用物理化学的理论和实验技能解释及解决实际问题的能力。</w:t>
      </w:r>
    </w:p>
    <w:p w14:paraId="123C254D">
      <w:pPr>
        <w:spacing w:line="360" w:lineRule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0C1AFB08">
      <w:p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本考试为闭卷考试，满分为150分，考试时间为180分钟。</w:t>
      </w:r>
    </w:p>
    <w:p w14:paraId="3B851AA3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试卷结构：</w:t>
      </w:r>
    </w:p>
    <w:p w14:paraId="6331DEC1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基础知识题（填空、选择、判断等）：40%～50%；</w:t>
      </w:r>
    </w:p>
    <w:p w14:paraId="7DEC71B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基本技能题（计算、证明、实验等)：50%～60%。</w:t>
      </w:r>
    </w:p>
    <w:p w14:paraId="5EAD9A9E">
      <w:p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四、考试内容</w:t>
      </w:r>
    </w:p>
    <w:p w14:paraId="57926837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0、绪论</w:t>
      </w:r>
    </w:p>
    <w:p w14:paraId="5A748249">
      <w:pPr>
        <w:pStyle w:val="5"/>
        <w:snapToGrid w:val="0"/>
        <w:spacing w:line="360" w:lineRule="auto"/>
        <w:ind w:firstLine="425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 xml:space="preserve"> 物理化学的发展史、研究对象和研究方法，物理量的表示及运算。</w:t>
      </w:r>
    </w:p>
    <w:p w14:paraId="5AD62F93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1、气体</w:t>
      </w:r>
    </w:p>
    <w:p w14:paraId="2B21BE5A">
      <w:pPr>
        <w:pStyle w:val="5"/>
        <w:snapToGrid w:val="0"/>
        <w:spacing w:line="360" w:lineRule="auto"/>
        <w:ind w:firstLine="425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气体分子动理论、速率分布、能量分布、碰撞频率与平均自由程；理想气体状态方程、摩尔气体常数；实际气体的范德华方程；对比状态原理、压缩因子图。</w:t>
      </w:r>
    </w:p>
    <w:p w14:paraId="42E87FD4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2、热力学第一定律</w:t>
      </w:r>
    </w:p>
    <w:p w14:paraId="4186517E">
      <w:pPr>
        <w:pStyle w:val="5"/>
        <w:snapToGrid w:val="0"/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基本概念（系统与环境、强度性质与容量性质、状态、状态函数、状态方程、过程、途径、过程量、热、功、内能、焓、热容、反应进度、热效应、标准生热、标准燃烧热、可逆过程和不可逆过程、过程方向与限度等）；热力学第一定律；卡诺循环与热机效率的计算；Hess定律与基尔霍夫定律；化学反应焓的计算；简单状态变化过程、相变过程和化学变化过程中</w:t>
      </w:r>
      <w:r>
        <w:rPr>
          <w:rFonts w:hint="eastAsia" w:ascii="Times New Roman" w:hAnsi="Times New Roman"/>
          <w:i/>
          <w:sz w:val="24"/>
          <w:szCs w:val="24"/>
        </w:rPr>
        <w:t>Q、W</w:t>
      </w:r>
      <w:r>
        <w:rPr>
          <w:rFonts w:hint="eastAsia" w:ascii="Times New Roman" w:hAnsi="Times New Roman"/>
          <w:sz w:val="24"/>
          <w:szCs w:val="24"/>
        </w:rPr>
        <w:t>、△</w:t>
      </w:r>
      <w:r>
        <w:rPr>
          <w:rFonts w:hint="eastAsia" w:ascii="Times New Roman" w:hAnsi="Times New Roman"/>
          <w:i/>
          <w:sz w:val="24"/>
          <w:szCs w:val="24"/>
        </w:rPr>
        <w:t>U</w:t>
      </w:r>
      <w:r>
        <w:rPr>
          <w:rFonts w:hint="eastAsia" w:ascii="Times New Roman" w:hAnsi="Times New Roman"/>
          <w:sz w:val="24"/>
          <w:szCs w:val="24"/>
        </w:rPr>
        <w:t>、 △</w:t>
      </w:r>
      <w:r>
        <w:rPr>
          <w:rFonts w:hint="eastAsia" w:ascii="Times New Roman" w:hAnsi="Times New Roman"/>
          <w:i/>
          <w:sz w:val="24"/>
          <w:szCs w:val="24"/>
        </w:rPr>
        <w:t>H</w:t>
      </w:r>
      <w:r>
        <w:rPr>
          <w:rFonts w:hint="eastAsia" w:ascii="Times New Roman" w:hAnsi="Times New Roman"/>
          <w:sz w:val="24"/>
          <w:szCs w:val="24"/>
        </w:rPr>
        <w:t>等热力学量的计算；节流膨胀和焦耳－汤姆逊效应。</w:t>
      </w:r>
    </w:p>
    <w:p w14:paraId="555FDE0D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3、热力学第二定律</w:t>
      </w:r>
    </w:p>
    <w:p w14:paraId="1C6886BE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热力学第二定律；卡诺定理、克劳修斯不等式、熵增加原理、热温商和熵的概念；熵变的计算；热力学第三定律；Helmholtz自由能和Gibbs自由能（Helmholtz函数和Gibbs函数）的概念和计算；热力学基本方程、麦克斯韦方程、热力学函数间的关系；克拉佩龙方程、克－克方程。</w:t>
      </w:r>
      <w:r>
        <w:rPr>
          <w:rFonts w:hint="eastAsia" w:ascii="Times New Roman" w:hAnsi="Times New Roman"/>
          <w:b/>
          <w:sz w:val="24"/>
          <w:szCs w:val="24"/>
        </w:rPr>
        <w:t xml:space="preserve"> </w:t>
      </w:r>
    </w:p>
    <w:p w14:paraId="22DF1D6B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4、多组分系统热力学</w:t>
      </w:r>
    </w:p>
    <w:p w14:paraId="2A295EDA">
      <w:pPr>
        <w:pStyle w:val="5"/>
        <w:snapToGrid w:val="0"/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偏摩尔量与化学势；</w:t>
      </w:r>
      <w:r>
        <w:rPr>
          <w:rFonts w:ascii="Times New Roman" w:hAnsi="Times New Roman"/>
          <w:sz w:val="24"/>
          <w:szCs w:val="24"/>
        </w:rPr>
        <w:t>Gibbs-Duhem</w:t>
      </w:r>
      <w:r>
        <w:rPr>
          <w:rFonts w:hint="eastAsia"/>
          <w:sz w:val="24"/>
          <w:szCs w:val="24"/>
        </w:rPr>
        <w:t>方程；理想气体和理想稀溶液中组分的化学势；实际气体中和实际溶液中组分的化学势；</w:t>
      </w:r>
      <w:r>
        <w:rPr>
          <w:rFonts w:ascii="Times New Roman" w:hAnsi="Times New Roman"/>
          <w:sz w:val="24"/>
          <w:szCs w:val="24"/>
        </w:rPr>
        <w:t>Raoult</w:t>
      </w:r>
      <w:r>
        <w:rPr>
          <w:rFonts w:ascii="Times New Roman"/>
          <w:sz w:val="24"/>
          <w:szCs w:val="24"/>
        </w:rPr>
        <w:t>定律</w:t>
      </w:r>
      <w:r>
        <w:rPr>
          <w:rFonts w:hint="eastAsia" w:ascii="Times New Roman"/>
          <w:sz w:val="24"/>
          <w:szCs w:val="24"/>
        </w:rPr>
        <w:t>和</w:t>
      </w:r>
      <w:r>
        <w:rPr>
          <w:rFonts w:ascii="Times New Roman" w:hAnsi="Times New Roman"/>
          <w:sz w:val="24"/>
          <w:szCs w:val="24"/>
        </w:rPr>
        <w:t>Henry</w:t>
      </w:r>
      <w:r>
        <w:rPr>
          <w:rFonts w:hint="eastAsia"/>
          <w:sz w:val="24"/>
          <w:szCs w:val="24"/>
        </w:rPr>
        <w:t>定律；稀溶液的依数性及计算；</w:t>
      </w:r>
      <w:r>
        <w:rPr>
          <w:rFonts w:ascii="Times New Roman"/>
          <w:sz w:val="24"/>
          <w:szCs w:val="24"/>
        </w:rPr>
        <w:t>理想</w:t>
      </w:r>
      <w:r>
        <w:rPr>
          <w:rFonts w:hint="eastAsia" w:ascii="Times New Roman"/>
          <w:sz w:val="24"/>
          <w:szCs w:val="24"/>
        </w:rPr>
        <w:t>液态</w:t>
      </w:r>
      <w:r>
        <w:rPr>
          <w:rFonts w:ascii="Times New Roman"/>
          <w:sz w:val="24"/>
          <w:szCs w:val="24"/>
        </w:rPr>
        <w:t>混合物</w:t>
      </w:r>
      <w:r>
        <w:rPr>
          <w:rFonts w:hint="eastAsia" w:ascii="Times New Roman"/>
          <w:sz w:val="24"/>
          <w:szCs w:val="24"/>
        </w:rPr>
        <w:t>的定义和性质；</w:t>
      </w:r>
      <w:r>
        <w:rPr>
          <w:rFonts w:hint="eastAsia"/>
          <w:sz w:val="24"/>
          <w:szCs w:val="24"/>
        </w:rPr>
        <w:t>化学势的应用。</w:t>
      </w:r>
    </w:p>
    <w:p w14:paraId="3A9FB628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5、</w:t>
      </w:r>
      <w:r>
        <w:rPr>
          <w:rFonts w:hint="eastAsia" w:ascii="宋体" w:hAnsi="宋体" w:cs="宋体"/>
          <w:bCs/>
          <w:sz w:val="24"/>
          <w:szCs w:val="24"/>
        </w:rPr>
        <w:t>化学平衡</w:t>
      </w:r>
    </w:p>
    <w:p w14:paraId="186EB666">
      <w:pPr>
        <w:pStyle w:val="5"/>
        <w:snapToGrid w:val="0"/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化学反应的方向和平衡条件；化学反应的平衡常数和等温方程式；</w:t>
      </w:r>
      <w:r>
        <w:rPr>
          <w:rFonts w:hint="eastAsia"/>
          <w:position w:val="-12"/>
        </w:rPr>
        <w:object>
          <v:shape id="_x0000_i1025" o:spt="75" type="#_x0000_t75" style="height:17.6pt;width:32.75pt;" o:ole="t" filled="f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w:r>
        <w:rPr>
          <w:rFonts w:hint="eastAsia" w:ascii="Times New Roman" w:hAnsi="Times New Roman"/>
          <w:sz w:val="24"/>
          <w:szCs w:val="24"/>
        </w:rPr>
        <w:t>和</w:t>
      </w:r>
      <w:r>
        <w:rPr>
          <w:rFonts w:hint="eastAsia"/>
          <w:position w:val="-16"/>
        </w:rPr>
        <w:object>
          <v:shape id="_x0000_i1026" o:spt="75" type="#_x0000_t75" style="height:19.2pt;width:19.2pt;" o:ole="t" filled="f" o:preferrelative="t" stroked="f" coordsize="21600,21600">
            <v:path/>
            <v:fill on="f" alignshape="1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7">
            <o:LockedField>false</o:LockedField>
          </o:OLEObject>
        </w:object>
      </w:r>
      <w:r>
        <w:rPr>
          <w:rFonts w:hint="eastAsia" w:ascii="Times New Roman" w:hAnsi="Times New Roman"/>
          <w:sz w:val="24"/>
          <w:szCs w:val="24"/>
        </w:rPr>
        <w:t xml:space="preserve">的计算；温度、压力和其他因素对化学平衡的影响和范特霍夫公式；平衡组成和平衡产率的计算；同时反应化学平衡和复相反应化学平衡。 </w:t>
      </w:r>
    </w:p>
    <w:p w14:paraId="1B33B669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6、相平衡</w:t>
      </w:r>
    </w:p>
    <w:p w14:paraId="50974A27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/>
          <w:sz w:val="24"/>
          <w:szCs w:val="24"/>
        </w:rPr>
        <w:t>相律；单组分体系的相图；二组分体系的相图；杠杆规则；三组分体系的液－液相图；蒸馏和精馏的原理、相图分析、二元相图的绘制及其应用。</w:t>
      </w:r>
    </w:p>
    <w:p w14:paraId="3D708E70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7、统计热力学基础</w:t>
      </w:r>
    </w:p>
    <w:p w14:paraId="3635B406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b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基本概念：定位、非定位粒子系统</w:t>
      </w:r>
      <w:r>
        <w:rPr>
          <w:rFonts w:hint="eastAsia" w:ascii="Times New Roman" w:hAnsi="Times New Roman"/>
          <w:sz w:val="24"/>
          <w:szCs w:val="24"/>
          <w:lang w:eastAsia="zh-CN"/>
        </w:rPr>
        <w:t>，</w:t>
      </w:r>
      <w:r>
        <w:rPr>
          <w:rFonts w:hint="eastAsia" w:ascii="Times New Roman" w:hAnsi="Times New Roman"/>
          <w:sz w:val="24"/>
          <w:szCs w:val="24"/>
        </w:rPr>
        <w:t>独立、相依粒子系统</w:t>
      </w:r>
      <w:r>
        <w:rPr>
          <w:rFonts w:hint="eastAsia" w:ascii="Times New Roman" w:hAnsi="Times New Roman"/>
          <w:sz w:val="24"/>
          <w:szCs w:val="24"/>
          <w:lang w:eastAsia="zh-CN"/>
        </w:rPr>
        <w:t>；</w:t>
      </w:r>
      <w:r>
        <w:rPr>
          <w:rFonts w:hint="eastAsia" w:ascii="Times New Roman" w:hAnsi="Times New Roman"/>
          <w:sz w:val="24"/>
          <w:szCs w:val="24"/>
        </w:rPr>
        <w:t>统计热力学的基本假定、系统的微观状态数</w:t>
      </w:r>
      <w:r>
        <w:rPr>
          <w:rFonts w:hint="eastAsia" w:ascii="Times New Roman" w:hAnsi="Times New Roman"/>
          <w:i/>
          <w:sz w:val="24"/>
          <w:szCs w:val="24"/>
        </w:rPr>
        <w:t>Ω</w:t>
      </w:r>
      <w:r>
        <w:rPr>
          <w:rFonts w:hint="eastAsia" w:ascii="Times New Roman" w:hAnsi="Times New Roman"/>
          <w:sz w:val="24"/>
          <w:szCs w:val="24"/>
        </w:rPr>
        <w:t>、最概然分布和平衡分布、熵的统计意义等；玻尔兹曼分布律、粒子配分函数与热力学函数的关系、平动、转动、振动配分函数的计算；用配分函数计算理想气体反应的平衡常数。</w:t>
      </w:r>
    </w:p>
    <w:p w14:paraId="72E55135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8、电解质溶液</w:t>
      </w:r>
    </w:p>
    <w:p w14:paraId="5D4D7D29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Faraday定律应用；电导、电导率、摩尔电导率、离子淌度、离子迁移数、离子摩尔电导率、电解质活度、离子平均活度、平均质量摩尔浓度、平均活度因子和离子强度的概念及其求算；电导的测定及应用；Debye-H</w:t>
      </w:r>
      <w:r>
        <w:rPr>
          <w:rFonts w:ascii="Times New Roman" w:hAnsi="Times New Roman"/>
          <w:sz w:val="24"/>
          <w:szCs w:val="24"/>
        </w:rPr>
        <w:t>ü</w:t>
      </w:r>
      <w:r>
        <w:rPr>
          <w:rFonts w:hint="eastAsia" w:ascii="Times New Roman" w:hAnsi="Times New Roman"/>
          <w:sz w:val="24"/>
          <w:szCs w:val="24"/>
        </w:rPr>
        <w:t>ckel离子互吸理论和离子氛模型。</w:t>
      </w:r>
    </w:p>
    <w:p w14:paraId="3FDCB153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9、可逆电池的电动势及其应用</w:t>
      </w:r>
    </w:p>
    <w:p w14:paraId="6CB52DA1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可逆电池和可逆电极；电动势的测定；可逆电池的书写方法及电动势的取号；根据化学反应设计电池，电极电势和电池电动势的计算；可逆电池热力学和能斯特方程；热力函数和平衡常数的计算；电动势产生的机理；电极电势和电池的电动势；电动势测定的其它应用如pH测定、活度因子测定、难溶盐溶度积测定等。</w:t>
      </w:r>
    </w:p>
    <w:p w14:paraId="73BFAD16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10、电解与极化作用</w:t>
      </w:r>
    </w:p>
    <w:p w14:paraId="2F9D32DE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分解电压和电极的极化；极化曲线和超电势；超电势测定方法、电化学极化塔菲尔公式、实际析出电势的计算及由电极反应析出物质先后顺序的判断，</w:t>
      </w:r>
      <w:r>
        <w:rPr>
          <w:rFonts w:hint="eastAsia"/>
          <w:sz w:val="24"/>
          <w:szCs w:val="24"/>
        </w:rPr>
        <w:t>金属腐蚀的原因和各种防腐的方法。</w:t>
      </w:r>
    </w:p>
    <w:p w14:paraId="4C564616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11、化学动力学基础（一）</w:t>
      </w:r>
    </w:p>
    <w:p w14:paraId="24CB817B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化学动力学的任务和目的；化学反应速率表示方法；化学反应速率方程；具有简单级数的反应；几种典型的复杂反应；温度对反应速率的影响；链反应；拟定反应历程的一般方法。</w:t>
      </w:r>
    </w:p>
    <w:p w14:paraId="0D935E99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12、化学动力学基础（二）</w:t>
      </w:r>
    </w:p>
    <w:p w14:paraId="63699CC2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碰撞理论；过渡态理论；单分子反应理论；在溶液中进行的反应；光化学反应；催化反应动力学。</w:t>
      </w:r>
    </w:p>
    <w:p w14:paraId="24759FAD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13、表面物理化学</w:t>
      </w:r>
    </w:p>
    <w:p w14:paraId="1913FEB7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表面张力及表面吉布斯自由能；弯曲液面的附加压力、Young-Laplace公式和Kelvin公式；溶液表面吸附和吉布斯吸附等温式；固体表面吸附、弗兰德里希吸附等温式、朗格缪尔吸附理论、BET多分子层吸附理论；固－液界面吸附、接触角与杨氏方程、粘湿、润湿、铺展；表面活性剂。</w:t>
      </w:r>
    </w:p>
    <w:p w14:paraId="39FED793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14、胶体分散系统和大分子溶液</w:t>
      </w:r>
    </w:p>
    <w:p w14:paraId="12DAD63F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分散系统的分类；溶胶的制备与净化；溶胶的基本特征与胶团结构；溶胶的动力学性质、布朗运动、扩散和沉降；溶胶的光学性质、丁铎尔效应和瑞利公式；溶胶的电学性质、电动现象、扩散双电层理论和电动电位；胶体的稳定性与聚沉规律；乳状液；悬浮液；凝胶；泡沫；大分子溶液。</w:t>
      </w:r>
    </w:p>
    <w:p w14:paraId="7DBFAB06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15、物化实验部分</w:t>
      </w:r>
    </w:p>
    <w:p w14:paraId="73F0BA6D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（一）基础知识</w:t>
      </w:r>
    </w:p>
    <w:p w14:paraId="5A6194F3">
      <w:pPr>
        <w:pStyle w:val="5"/>
        <w:snapToGrid w:val="0"/>
        <w:spacing w:line="360" w:lineRule="auto"/>
        <w:ind w:firstLine="480" w:firstLineChars="200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实验数据的测量和处理；物理化学实验安全知识；</w:t>
      </w:r>
    </w:p>
    <w:p w14:paraId="108338E1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（二）常用仪器的知识与操作</w:t>
      </w:r>
    </w:p>
    <w:p w14:paraId="36E3475A">
      <w:pPr>
        <w:pStyle w:val="5"/>
        <w:snapToGrid w:val="0"/>
        <w:spacing w:line="360" w:lineRule="auto"/>
        <w:ind w:firstLine="480" w:firstLineChars="200"/>
        <w:rPr>
          <w:rFonts w:hint="eastAsia"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</w:rPr>
        <w:t>测温系统、真空系统；压力系统；酸度计、分光光度计等；</w:t>
      </w:r>
    </w:p>
    <w:p w14:paraId="5E3CFD93">
      <w:pPr>
        <w:snapToGrid w:val="0"/>
        <w:spacing w:line="360" w:lineRule="auto"/>
        <w:rPr>
          <w:rFonts w:hint="eastAsia" w:ascii="宋体" w:hAnsi="宋体" w:cs="宋体"/>
          <w:bCs/>
          <w:sz w:val="24"/>
          <w:szCs w:val="24"/>
        </w:rPr>
      </w:pPr>
      <w:r>
        <w:rPr>
          <w:rFonts w:hint="eastAsia" w:ascii="宋体" w:hAnsi="宋体" w:cs="宋体"/>
          <w:bCs/>
          <w:sz w:val="24"/>
          <w:szCs w:val="24"/>
        </w:rPr>
        <w:t>（三）重要的物理化学实验</w:t>
      </w:r>
    </w:p>
    <w:p w14:paraId="26BC1FF6">
      <w:pPr>
        <w:spacing w:line="360" w:lineRule="auto"/>
        <w:ind w:firstLine="480" w:firstLineChars="20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燃烧热和溶解热的测定；液体饱和蒸汽压的测定；液相反应平衡常数的测定；双液系的平衡相图；离子迁移数的测定；电导的测定及应用、电动势的测定及应用；极化曲线的测定及应用；蔗糖的转化、乙酸乙酯皂化反应、溶液表面张力的测定；固液吸附法测定比表面；粘度的测定及应用；差热热重分析等。</w:t>
      </w:r>
    </w:p>
    <w:p w14:paraId="7B36B7C9">
      <w:pPr>
        <w:spacing w:line="360" w:lineRule="auto"/>
        <w:ind w:firstLine="480" w:firstLineChars="200"/>
        <w:rPr>
          <w:rFonts w:hint="eastAsia" w:hAnsi="宋体" w:cs="宋体"/>
          <w:sz w:val="24"/>
          <w:szCs w:val="24"/>
        </w:rPr>
      </w:pPr>
      <w:bookmarkStart w:id="1" w:name="_GoBack"/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start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0BB10A-7A15-4F53-86F1-44AD3F8CBCA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B10D1E">
    <w:pPr>
      <w:pStyle w:val="7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22</w:t>
    </w:r>
    <w:r>
      <w:fldChar w:fldCharType="end"/>
    </w:r>
  </w:p>
  <w:p w14:paraId="4FC5D36F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74E804"/>
    <w:multiLevelType w:val="singleLevel"/>
    <w:tmpl w:val="F574E804"/>
    <w:lvl w:ilvl="0" w:tentative="0">
      <w:start w:val="815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Y1ODNhNGY5MmI1YTI4NjVkYWZkZDQxYzg5NWY1OGMifQ=="/>
  </w:docVars>
  <w:rsids>
    <w:rsidRoot w:val="00172A27"/>
    <w:rsid w:val="0005306C"/>
    <w:rsid w:val="0024280C"/>
    <w:rsid w:val="00295C36"/>
    <w:rsid w:val="002B33CA"/>
    <w:rsid w:val="002E1BB9"/>
    <w:rsid w:val="002E73AE"/>
    <w:rsid w:val="002F6699"/>
    <w:rsid w:val="00320708"/>
    <w:rsid w:val="003D5A8B"/>
    <w:rsid w:val="00530EBC"/>
    <w:rsid w:val="005A7080"/>
    <w:rsid w:val="005D608F"/>
    <w:rsid w:val="005E2269"/>
    <w:rsid w:val="00626F44"/>
    <w:rsid w:val="00755901"/>
    <w:rsid w:val="00782ECF"/>
    <w:rsid w:val="008710BF"/>
    <w:rsid w:val="00881DDF"/>
    <w:rsid w:val="008912A7"/>
    <w:rsid w:val="0089158D"/>
    <w:rsid w:val="008F57B7"/>
    <w:rsid w:val="00935349"/>
    <w:rsid w:val="00966FF9"/>
    <w:rsid w:val="00991196"/>
    <w:rsid w:val="00B42353"/>
    <w:rsid w:val="00B67F61"/>
    <w:rsid w:val="00C31AB0"/>
    <w:rsid w:val="00C33B0E"/>
    <w:rsid w:val="00DD7548"/>
    <w:rsid w:val="00E36996"/>
    <w:rsid w:val="00E8051C"/>
    <w:rsid w:val="00F70488"/>
    <w:rsid w:val="00F915F2"/>
    <w:rsid w:val="00FA2A1A"/>
    <w:rsid w:val="0C617C65"/>
    <w:rsid w:val="129B61D8"/>
    <w:rsid w:val="136D48AC"/>
    <w:rsid w:val="15CA6802"/>
    <w:rsid w:val="16A27D67"/>
    <w:rsid w:val="174848EB"/>
    <w:rsid w:val="18541252"/>
    <w:rsid w:val="20F47472"/>
    <w:rsid w:val="23CF4D34"/>
    <w:rsid w:val="255D3B3D"/>
    <w:rsid w:val="26975E9F"/>
    <w:rsid w:val="27EA6F67"/>
    <w:rsid w:val="2D8D4E7E"/>
    <w:rsid w:val="2F2F703D"/>
    <w:rsid w:val="2F7C7FBE"/>
    <w:rsid w:val="33E45A07"/>
    <w:rsid w:val="35680AB9"/>
    <w:rsid w:val="36046551"/>
    <w:rsid w:val="37F0607D"/>
    <w:rsid w:val="3C1C1178"/>
    <w:rsid w:val="3DF94D62"/>
    <w:rsid w:val="44AD0C2A"/>
    <w:rsid w:val="4B1328B7"/>
    <w:rsid w:val="4C0B741D"/>
    <w:rsid w:val="4EE94F9C"/>
    <w:rsid w:val="4F4A584B"/>
    <w:rsid w:val="533A26AB"/>
    <w:rsid w:val="53C02053"/>
    <w:rsid w:val="53CF5AC9"/>
    <w:rsid w:val="55944A0F"/>
    <w:rsid w:val="56AF40CB"/>
    <w:rsid w:val="56C21269"/>
    <w:rsid w:val="570F79A8"/>
    <w:rsid w:val="5C045B37"/>
    <w:rsid w:val="5F593708"/>
    <w:rsid w:val="62BF00A6"/>
    <w:rsid w:val="64D00FB4"/>
    <w:rsid w:val="64EB2AB5"/>
    <w:rsid w:val="68936A84"/>
    <w:rsid w:val="6B15132A"/>
    <w:rsid w:val="6D112C0C"/>
    <w:rsid w:val="6D41420B"/>
    <w:rsid w:val="6E604605"/>
    <w:rsid w:val="74500B07"/>
    <w:rsid w:val="74B40DA7"/>
    <w:rsid w:val="74EA0887"/>
    <w:rsid w:val="781C50E7"/>
    <w:rsid w:val="7BA03A4A"/>
    <w:rsid w:val="7D4A2890"/>
    <w:rsid w:val="7ED303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semiHidden="0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unhideWhenUsed/>
    <w:uiPriority w:val="1"/>
  </w:style>
  <w:style w:type="table" w:default="1" w:styleId="12">
    <w:name w:val="Normal Table"/>
    <w:unhideWhenUsed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7"/>
    <w:unhideWhenUsed/>
    <w:uiPriority w:val="99"/>
    <w:pPr>
      <w:jc w:val="left"/>
    </w:pPr>
  </w:style>
  <w:style w:type="paragraph" w:styleId="4">
    <w:name w:val="toc 3"/>
    <w:basedOn w:val="1"/>
    <w:next w:val="1"/>
    <w:unhideWhenUsed/>
    <w:uiPriority w:val="39"/>
    <w:pPr>
      <w:widowControl/>
      <w:spacing w:after="100" w:line="259" w:lineRule="auto"/>
      <w:ind w:left="440"/>
      <w:jc w:val="left"/>
    </w:pPr>
    <w:rPr>
      <w:rFonts w:ascii="等线" w:hAnsi="等线" w:eastAsia="等线"/>
      <w:kern w:val="0"/>
      <w:sz w:val="22"/>
    </w:rPr>
  </w:style>
  <w:style w:type="paragraph" w:styleId="5">
    <w:name w:val="Plain Text"/>
    <w:basedOn w:val="1"/>
    <w:link w:val="18"/>
    <w:uiPriority w:val="0"/>
    <w:rPr>
      <w:rFonts w:ascii="Courier New" w:hAnsi="Courier New"/>
      <w:szCs w:val="20"/>
    </w:rPr>
  </w:style>
  <w:style w:type="paragraph" w:styleId="6">
    <w:name w:val="Balloon Text"/>
    <w:basedOn w:val="1"/>
    <w:link w:val="19"/>
    <w:unhideWhenUsed/>
    <w:uiPriority w:val="99"/>
    <w:rPr>
      <w:sz w:val="18"/>
      <w:szCs w:val="18"/>
    </w:rPr>
  </w:style>
  <w:style w:type="paragraph" w:styleId="7">
    <w:name w:val="footer"/>
    <w:basedOn w:val="1"/>
    <w:link w:val="2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8">
    <w:name w:val="header"/>
    <w:basedOn w:val="1"/>
    <w:link w:val="2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9">
    <w:name w:val="toc 1"/>
    <w:basedOn w:val="1"/>
    <w:next w:val="1"/>
    <w:unhideWhenUsed/>
    <w:uiPriority w:val="39"/>
    <w:rPr>
      <w:rFonts w:ascii="Calibri" w:hAnsi="Calibri"/>
    </w:rPr>
  </w:style>
  <w:style w:type="paragraph" w:styleId="10">
    <w:name w:val="toc 2"/>
    <w:basedOn w:val="1"/>
    <w:next w:val="1"/>
    <w:unhideWhenUsed/>
    <w:uiPriority w:val="39"/>
    <w:pPr>
      <w:ind w:left="420" w:leftChars="200"/>
    </w:pPr>
  </w:style>
  <w:style w:type="paragraph" w:styleId="11">
    <w:name w:val="annotation subject"/>
    <w:basedOn w:val="3"/>
    <w:next w:val="3"/>
    <w:link w:val="22"/>
    <w:unhideWhenUsed/>
    <w:uiPriority w:val="99"/>
    <w:rPr>
      <w:b/>
      <w:bCs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annotation reference"/>
    <w:unhideWhenUsed/>
    <w:uiPriority w:val="99"/>
    <w:rPr>
      <w:sz w:val="21"/>
      <w:szCs w:val="21"/>
    </w:rPr>
  </w:style>
  <w:style w:type="character" w:customStyle="1" w:styleId="16">
    <w:name w:val="标题 1 字符"/>
    <w:link w:val="2"/>
    <w:uiPriority w:val="9"/>
    <w:rPr>
      <w:b/>
      <w:bCs/>
      <w:kern w:val="44"/>
      <w:sz w:val="44"/>
      <w:szCs w:val="44"/>
    </w:rPr>
  </w:style>
  <w:style w:type="character" w:customStyle="1" w:styleId="17">
    <w:name w:val="批注文字 字符"/>
    <w:link w:val="3"/>
    <w:uiPriority w:val="99"/>
    <w:rPr>
      <w:kern w:val="2"/>
      <w:sz w:val="21"/>
      <w:szCs w:val="22"/>
    </w:rPr>
  </w:style>
  <w:style w:type="character" w:customStyle="1" w:styleId="18">
    <w:name w:val="纯文本 字符1"/>
    <w:link w:val="5"/>
    <w:locked/>
    <w:uiPriority w:val="0"/>
    <w:rPr>
      <w:rFonts w:ascii="Courier New" w:hAnsi="Courier New"/>
      <w:kern w:val="2"/>
      <w:sz w:val="21"/>
    </w:rPr>
  </w:style>
  <w:style w:type="character" w:customStyle="1" w:styleId="19">
    <w:name w:val="批注框文本 字符"/>
    <w:link w:val="6"/>
    <w:semiHidden/>
    <w:uiPriority w:val="99"/>
    <w:rPr>
      <w:kern w:val="2"/>
      <w:sz w:val="18"/>
      <w:szCs w:val="18"/>
    </w:rPr>
  </w:style>
  <w:style w:type="character" w:customStyle="1" w:styleId="20">
    <w:name w:val="页脚 字符"/>
    <w:link w:val="7"/>
    <w:semiHidden/>
    <w:uiPriority w:val="99"/>
    <w:rPr>
      <w:sz w:val="18"/>
      <w:szCs w:val="18"/>
    </w:rPr>
  </w:style>
  <w:style w:type="character" w:customStyle="1" w:styleId="21">
    <w:name w:val="页眉 字符"/>
    <w:link w:val="8"/>
    <w:semiHidden/>
    <w:uiPriority w:val="99"/>
    <w:rPr>
      <w:sz w:val="18"/>
      <w:szCs w:val="18"/>
    </w:rPr>
  </w:style>
  <w:style w:type="character" w:customStyle="1" w:styleId="22">
    <w:name w:val="批注主题 字符"/>
    <w:link w:val="11"/>
    <w:semiHidden/>
    <w:uiPriority w:val="99"/>
    <w:rPr>
      <w:b/>
      <w:bCs/>
      <w:kern w:val="2"/>
      <w:sz w:val="21"/>
      <w:szCs w:val="22"/>
    </w:rPr>
  </w:style>
  <w:style w:type="character" w:customStyle="1" w:styleId="23">
    <w:name w:val="纯文本 字符"/>
    <w:semiHidden/>
    <w:uiPriority w:val="99"/>
    <w:rPr>
      <w:rFonts w:ascii="宋体" w:hAnsi="Courier New" w:cs="Courier New"/>
      <w:kern w:val="2"/>
      <w:sz w:val="21"/>
      <w:szCs w:val="21"/>
    </w:rPr>
  </w:style>
  <w:style w:type="paragraph" w:styleId="24">
    <w:name w:val=""/>
    <w:basedOn w:val="2"/>
    <w:next w:val="1"/>
    <w:qFormat/>
    <w:uiPriority w:val="39"/>
    <w:pPr>
      <w:widowControl/>
      <w:spacing w:before="240" w:after="0" w:line="259" w:lineRule="auto"/>
      <w:jc w:val="left"/>
      <w:outlineLvl w:val="9"/>
    </w:pPr>
    <w:rPr>
      <w:rFonts w:ascii="等线 Light" w:hAnsi="等线 Light" w:eastAsia="等线 Light" w:cs="Times New Roman"/>
      <w:b w:val="0"/>
      <w:bCs w:val="0"/>
      <w:color w:val="2F5496"/>
      <w:kern w:val="0"/>
      <w:sz w:val="32"/>
      <w:szCs w:val="32"/>
    </w:rPr>
  </w:style>
  <w:style w:type="character" w:customStyle="1" w:styleId="25">
    <w:name w:val="页脚 Char"/>
    <w:uiPriority w:val="99"/>
    <w:rPr>
      <w:lang w:eastAsia="zh-CN"/>
    </w:rPr>
  </w:style>
  <w:style w:type="paragraph" w:styleId="26">
    <w:name w:val=""/>
    <w:unhideWhenUsed/>
    <w:uiPriority w:val="99"/>
    <w:rPr>
      <w:kern w:val="2"/>
      <w:sz w:val="21"/>
      <w:szCs w:val="22"/>
      <w:lang w:val="en-US" w:eastAsia="zh-CN" w:bidi="ar-SA"/>
    </w:rPr>
  </w:style>
  <w:style w:type="paragraph" w:customStyle="1" w:styleId="27">
    <w:name w:val="Default"/>
    <w:uiPriority w:val="0"/>
    <w:pPr>
      <w:widowControl w:val="0"/>
      <w:autoSpaceDE w:val="0"/>
      <w:autoSpaceDN w:val="0"/>
      <w:adjustRightInd w:val="0"/>
    </w:pPr>
    <w:rPr>
      <w:rFonts w:ascii="黑体" w:hAnsi="等线" w:eastAsia="黑体" w:cs="黑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2.wmf"/><Relationship Id="rId7" Type="http://schemas.openxmlformats.org/officeDocument/2006/relationships/oleObject" Target="embeddings/oleObject2.bin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2048</Words>
  <Characters>2152</Characters>
  <Lines>143</Lines>
  <Paragraphs>40</Paragraphs>
  <TotalTime>0</TotalTime>
  <ScaleCrop>false</ScaleCrop>
  <LinksUpToDate>false</LinksUpToDate>
  <CharactersWithSpaces>2156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2021-09-08T03:40:00Z</dcterms:created>
  <dc:creator>微软用户</dc:creator>
  <cp:lastModifiedBy>李坤伦</cp:lastModifiedBy>
  <cp:lastPrinted>2021-09-08T05:38:00Z</cp:lastPrinted>
  <dcterms:modified xsi:type="dcterms:W3CDTF">2026-07-01T00:42:11Z</dcterms:modified>
  <dc:title>附件7：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6FCBC780AD554C7F9B2DC34A6822E1F3_13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