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A21A8">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178782428"/>
      <w:r>
        <w:rPr>
          <w:rFonts w:hint="eastAsia" w:ascii="黑体" w:hAnsi="黑体" w:eastAsia="黑体" w:cs="黑体"/>
          <w:b w:val="0"/>
          <w:bCs w:val="0"/>
          <w:snapToGrid w:val="0"/>
          <w:color w:val="000000"/>
          <w:spacing w:val="1"/>
          <w:kern w:val="0"/>
          <w:sz w:val="32"/>
          <w:szCs w:val="32"/>
          <w:lang w:eastAsia="zh-CN"/>
        </w:rPr>
        <w:t>838</w:t>
      </w:r>
      <w:r>
        <w:rPr>
          <w:rFonts w:hint="eastAsia" w:ascii="黑体" w:hAnsi="黑体" w:eastAsia="黑体" w:cs="黑体"/>
          <w:b w:val="0"/>
          <w:bCs w:val="0"/>
          <w:snapToGrid w:val="0"/>
          <w:color w:val="000000"/>
          <w:spacing w:val="1"/>
          <w:kern w:val="0"/>
          <w:sz w:val="32"/>
          <w:szCs w:val="32"/>
          <w:lang w:eastAsia="zh-CN"/>
        </w:rPr>
        <w:t xml:space="preserve"> 环境科学与工程基础</w:t>
      </w:r>
      <w:bookmarkEnd w:id="0"/>
    </w:p>
    <w:p w14:paraId="6948B465">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1" w:name="_GoBack"/>
      <w:bookmarkEnd w:id="1"/>
    </w:p>
    <w:p w14:paraId="795E3204">
      <w:pPr>
        <w:spacing w:line="360" w:lineRule="auto"/>
        <w:rPr>
          <w:rFonts w:hint="eastAsia" w:ascii="宋体" w:hAnsi="宋体"/>
          <w:b/>
          <w:bCs/>
          <w:sz w:val="28"/>
          <w:szCs w:val="28"/>
        </w:rPr>
      </w:pPr>
      <w:r>
        <w:rPr>
          <w:rFonts w:hint="eastAsia" w:ascii="宋体" w:hAnsi="宋体"/>
          <w:b/>
          <w:bCs/>
          <w:sz w:val="28"/>
          <w:szCs w:val="28"/>
        </w:rPr>
        <w:t>一、考试性质</w:t>
      </w:r>
    </w:p>
    <w:p w14:paraId="633C8BEC">
      <w:pPr>
        <w:spacing w:line="360" w:lineRule="auto"/>
        <w:ind w:firstLine="480" w:firstLineChars="200"/>
        <w:rPr>
          <w:rFonts w:hint="eastAsia" w:ascii="宋体" w:hAnsi="宋体"/>
          <w:sz w:val="24"/>
        </w:rPr>
      </w:pPr>
      <w:r>
        <w:rPr>
          <w:rFonts w:hint="eastAsia" w:ascii="宋体" w:hAnsi="宋体"/>
          <w:sz w:val="24"/>
        </w:rPr>
        <w:t>《环境科学与工程基础学》是中国海洋大学为招收环境科学与工程专业硕士研究生而设置的具有选拔性质的考试科目。该科目涵盖了环境科学与工程专业核心课程内容，比如环境学、环境工程学、环境微生物学等，其目的是科学、公平、有效地考核考生掌握本专业知识的程度，考核其是否具备攻读本专业硕士学位所必须的基本素质、专业能力和培养潜能，以利于选拔具有发展潜力的优秀人才入学，为国家培养具有良好职业道德和专业知识、较强分析与解决实际问题能力的高层次专业人才。</w:t>
      </w:r>
    </w:p>
    <w:p w14:paraId="43C3D67C">
      <w:pPr>
        <w:spacing w:line="360" w:lineRule="auto"/>
        <w:rPr>
          <w:rFonts w:hint="eastAsia" w:ascii="宋体" w:hAnsi="宋体"/>
          <w:b/>
          <w:bCs/>
          <w:sz w:val="28"/>
          <w:szCs w:val="28"/>
        </w:rPr>
      </w:pPr>
      <w:r>
        <w:rPr>
          <w:rFonts w:hint="eastAsia" w:ascii="宋体" w:hAnsi="宋体"/>
          <w:b/>
          <w:bCs/>
          <w:sz w:val="28"/>
          <w:szCs w:val="28"/>
        </w:rPr>
        <w:t>二、考查目标</w:t>
      </w:r>
    </w:p>
    <w:p w14:paraId="236BF521">
      <w:pPr>
        <w:spacing w:line="400" w:lineRule="exact"/>
        <w:ind w:firstLine="480" w:firstLineChars="200"/>
        <w:rPr>
          <w:rFonts w:ascii="宋体" w:hAnsi="宋体"/>
          <w:sz w:val="24"/>
        </w:rPr>
      </w:pPr>
      <w:r>
        <w:rPr>
          <w:rFonts w:hint="eastAsia" w:ascii="宋体" w:hAnsi="宋体"/>
          <w:sz w:val="24"/>
        </w:rPr>
        <w:t>要求学生能够系统掌握和理解环境学基本原理，生态学基础理论，环境要素中主要污染物的来源、特征、转化与危害，全球环境问题产生根源及解决途径，</w:t>
      </w:r>
      <w:r>
        <w:rPr>
          <w:rFonts w:hint="eastAsia" w:ascii="宋体" w:hAnsi="宋体"/>
          <w:sz w:val="24"/>
          <w:szCs w:val="21"/>
        </w:rPr>
        <w:t>常见环境污染参数的监测方法与原理</w:t>
      </w:r>
      <w:r>
        <w:rPr>
          <w:rFonts w:hint="eastAsia" w:ascii="宋体" w:hAnsi="宋体"/>
          <w:sz w:val="24"/>
        </w:rPr>
        <w:t>，典型污染物的基本控制方法。系统掌握环境工程学的基本概念、基本方法、基本计算，具备运用环境工程学知识分析、理解和解决环境工程实际问题的能力，从而能够灵活运用环境工程学的基本理论和基本知识进行环境工程的科学研究和工程实践。掌握环境微生物学基本理论和分析技术，理解环境微生物的种类组成、特点，解释微生物在物质循环中的作用和贡献；在污染预防、治理和生态修复等环境保护中，能够识别关键微生物类群，判断微生物类群的作用，并根据污染物特征选择适合的功能微生物类群，预防和控制环境污染。</w:t>
      </w:r>
    </w:p>
    <w:p w14:paraId="3E27BCAA">
      <w:pPr>
        <w:spacing w:line="360" w:lineRule="auto"/>
        <w:rPr>
          <w:rFonts w:hint="eastAsia" w:ascii="宋体" w:hAnsi="宋体"/>
          <w:sz w:val="24"/>
          <w:szCs w:val="24"/>
        </w:rPr>
      </w:pPr>
      <w:r>
        <w:rPr>
          <w:rFonts w:hint="eastAsia" w:ascii="宋体" w:hAnsi="宋体"/>
          <w:b/>
          <w:bCs/>
          <w:sz w:val="28"/>
          <w:szCs w:val="28"/>
        </w:rPr>
        <w:t>三、考试形式</w:t>
      </w:r>
    </w:p>
    <w:p w14:paraId="3E998F6C">
      <w:pPr>
        <w:spacing w:line="400" w:lineRule="exact"/>
        <w:ind w:firstLine="480" w:firstLineChars="200"/>
        <w:rPr>
          <w:rFonts w:hint="eastAsia" w:ascii="宋体" w:hAnsi="宋体"/>
          <w:color w:val="FF0000"/>
          <w:sz w:val="24"/>
          <w:szCs w:val="24"/>
        </w:rPr>
      </w:pPr>
      <w:r>
        <w:rPr>
          <w:rFonts w:hint="eastAsia" w:ascii="宋体" w:hAnsi="宋体"/>
          <w:sz w:val="24"/>
          <w:szCs w:val="21"/>
        </w:rPr>
        <w:t>本考试为闭卷考试</w:t>
      </w:r>
      <w:r>
        <w:rPr>
          <w:rFonts w:hint="eastAsia" w:ascii="宋体" w:hAnsi="宋体"/>
          <w:sz w:val="24"/>
        </w:rPr>
        <w:t>，满分为150分，考试时间为180分钟。</w:t>
      </w:r>
    </w:p>
    <w:p w14:paraId="44852561">
      <w:pPr>
        <w:spacing w:line="360" w:lineRule="auto"/>
        <w:rPr>
          <w:rFonts w:ascii="宋体" w:hAnsi="宋体"/>
          <w:b/>
          <w:bCs/>
          <w:sz w:val="28"/>
          <w:szCs w:val="28"/>
        </w:rPr>
      </w:pPr>
      <w:r>
        <w:rPr>
          <w:rFonts w:hint="eastAsia" w:ascii="宋体" w:hAnsi="宋体"/>
          <w:b/>
          <w:bCs/>
          <w:sz w:val="28"/>
          <w:szCs w:val="28"/>
        </w:rPr>
        <w:t>四、考试内容</w:t>
      </w:r>
    </w:p>
    <w:p w14:paraId="09727C80">
      <w:pPr>
        <w:spacing w:line="360" w:lineRule="auto"/>
        <w:jc w:val="center"/>
        <w:rPr>
          <w:rFonts w:hint="eastAsia" w:ascii="宋体" w:hAnsi="宋体"/>
          <w:b/>
          <w:bCs/>
          <w:sz w:val="28"/>
          <w:szCs w:val="28"/>
        </w:rPr>
      </w:pPr>
      <w:r>
        <w:rPr>
          <w:rFonts w:hint="eastAsia" w:ascii="宋体" w:hAnsi="宋体"/>
          <w:b/>
          <w:bCs/>
          <w:sz w:val="28"/>
          <w:szCs w:val="28"/>
        </w:rPr>
        <w:t>环境学基础部分</w:t>
      </w:r>
    </w:p>
    <w:p w14:paraId="23CE489A">
      <w:pPr>
        <w:spacing w:line="400" w:lineRule="exact"/>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环境、环境问题基本概念及基本理论；全球性环境问题（臭氧层破坏、全球变暖、酸沉降、沙漠化等）的形成机制、危害与防治对策</w:t>
      </w:r>
      <w:r>
        <w:rPr>
          <w:rFonts w:ascii="宋体" w:hAnsi="宋体"/>
          <w:bCs/>
          <w:sz w:val="24"/>
          <w:szCs w:val="24"/>
        </w:rPr>
        <w:t>。</w:t>
      </w:r>
      <w:r>
        <w:rPr>
          <w:rFonts w:hint="eastAsia" w:ascii="宋体" w:hAnsi="宋体"/>
          <w:bCs/>
          <w:sz w:val="24"/>
          <w:szCs w:val="24"/>
        </w:rPr>
        <w:t>历史上重大环境污染（公害）</w:t>
      </w:r>
      <w:r>
        <w:rPr>
          <w:rFonts w:hint="eastAsia" w:ascii="宋体" w:hAnsi="宋体"/>
          <w:sz w:val="24"/>
          <w:szCs w:val="21"/>
        </w:rPr>
        <w:t>事件的根源</w:t>
      </w:r>
      <w:r>
        <w:rPr>
          <w:rFonts w:hint="eastAsia" w:ascii="宋体" w:hAnsi="宋体"/>
          <w:bCs/>
          <w:sz w:val="24"/>
          <w:szCs w:val="24"/>
        </w:rPr>
        <w:t>。</w:t>
      </w:r>
    </w:p>
    <w:p w14:paraId="0370C71F">
      <w:pPr>
        <w:spacing w:line="400" w:lineRule="exact"/>
        <w:ind w:firstLine="480" w:firstLineChars="200"/>
        <w:rPr>
          <w:rFonts w:ascii="宋体" w:hAnsi="宋体"/>
          <w:bCs/>
          <w:sz w:val="24"/>
          <w:szCs w:val="24"/>
        </w:rPr>
      </w:pPr>
      <w:r>
        <w:rPr>
          <w:rFonts w:ascii="宋体" w:hAnsi="宋体"/>
          <w:bCs/>
          <w:sz w:val="24"/>
          <w:szCs w:val="24"/>
        </w:rPr>
        <w:t>2．</w:t>
      </w:r>
      <w:r>
        <w:rPr>
          <w:rFonts w:hint="eastAsia" w:ascii="宋体" w:hAnsi="宋体"/>
          <w:sz w:val="24"/>
          <w:szCs w:val="21"/>
        </w:rPr>
        <w:t>生态学的基本概念</w:t>
      </w:r>
      <w:r>
        <w:rPr>
          <w:rFonts w:hint="eastAsia" w:ascii="宋体" w:hAnsi="宋体"/>
          <w:bCs/>
          <w:sz w:val="24"/>
          <w:szCs w:val="24"/>
        </w:rPr>
        <w:t>；生态系统的结构与功能；生态平衡的概念与特点；生态学的一般规律；物种丰富度、多样性指数的计算方法；生态学原理在环境保护中的应用。</w:t>
      </w:r>
    </w:p>
    <w:p w14:paraId="093B110B">
      <w:pPr>
        <w:spacing w:line="400" w:lineRule="exact"/>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大气环境、水环境、土壤环境、固体废物及物理环境等污染的含义、特征、类型、作用机制、影响因素及处理处置方法。污染物在环境中的迁移和转化。</w:t>
      </w:r>
    </w:p>
    <w:p w14:paraId="5798D1AD">
      <w:pPr>
        <w:spacing w:line="400" w:lineRule="exact"/>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w:t>
      </w:r>
      <w:r>
        <w:rPr>
          <w:rFonts w:hint="eastAsia" w:ascii="宋体" w:hAnsi="宋体"/>
          <w:sz w:val="24"/>
          <w:szCs w:val="21"/>
        </w:rPr>
        <w:t>环境污染的剂量</w:t>
      </w:r>
      <w:r>
        <w:rPr>
          <w:rFonts w:hint="eastAsia" w:ascii="宋体" w:hAnsi="宋体"/>
          <w:bCs/>
          <w:sz w:val="24"/>
          <w:szCs w:val="24"/>
        </w:rPr>
        <w:t>、毒性概念；环境污染对人体的作用及其影响因素。</w:t>
      </w:r>
    </w:p>
    <w:p w14:paraId="20FAE9EF">
      <w:pPr>
        <w:spacing w:line="400" w:lineRule="exact"/>
        <w:ind w:firstLine="480" w:firstLineChars="200"/>
        <w:rPr>
          <w:rFonts w:ascii="宋体" w:hAnsi="宋体"/>
          <w:bCs/>
          <w:sz w:val="24"/>
          <w:szCs w:val="24"/>
        </w:rPr>
      </w:pPr>
      <w:r>
        <w:rPr>
          <w:rFonts w:ascii="宋体" w:hAnsi="宋体"/>
          <w:bCs/>
          <w:sz w:val="24"/>
          <w:szCs w:val="24"/>
        </w:rPr>
        <w:t>5．水中溶解氧、pH、</w:t>
      </w:r>
      <w:r>
        <w:rPr>
          <w:rFonts w:hint="eastAsia" w:ascii="宋体" w:hAnsi="宋体"/>
          <w:bCs/>
          <w:sz w:val="24"/>
          <w:szCs w:val="24"/>
        </w:rPr>
        <w:t>化学需氧量、重金属</w:t>
      </w:r>
      <w:r>
        <w:rPr>
          <w:rFonts w:ascii="宋体" w:hAnsi="宋体"/>
          <w:bCs/>
          <w:sz w:val="24"/>
          <w:szCs w:val="24"/>
        </w:rPr>
        <w:t>和空气中SO2、NO2</w:t>
      </w:r>
      <w:r>
        <w:rPr>
          <w:rFonts w:hint="eastAsia" w:ascii="宋体" w:hAnsi="宋体"/>
          <w:bCs/>
          <w:sz w:val="24"/>
          <w:szCs w:val="24"/>
        </w:rPr>
        <w:t>、TSP等环境参数</w:t>
      </w:r>
      <w:r>
        <w:rPr>
          <w:rFonts w:ascii="宋体" w:hAnsi="宋体"/>
          <w:bCs/>
          <w:sz w:val="24"/>
          <w:szCs w:val="24"/>
        </w:rPr>
        <w:t>的测定方法与原理</w:t>
      </w:r>
      <w:r>
        <w:rPr>
          <w:rFonts w:hint="eastAsia" w:ascii="宋体" w:hAnsi="宋体"/>
          <w:bCs/>
          <w:sz w:val="24"/>
          <w:szCs w:val="24"/>
        </w:rPr>
        <w:t>；环境监测质量保证的方法。</w:t>
      </w:r>
    </w:p>
    <w:p w14:paraId="16C8E9F7">
      <w:pPr>
        <w:spacing w:line="400" w:lineRule="exact"/>
        <w:ind w:firstLine="480" w:firstLineChars="200"/>
        <w:rPr>
          <w:rFonts w:ascii="宋体" w:hAnsi="宋体"/>
          <w:bCs/>
          <w:sz w:val="24"/>
          <w:szCs w:val="24"/>
        </w:rPr>
      </w:pPr>
      <w:r>
        <w:rPr>
          <w:rFonts w:ascii="宋体" w:hAnsi="宋体"/>
          <w:bCs/>
          <w:sz w:val="24"/>
          <w:szCs w:val="24"/>
        </w:rPr>
        <w:t>6</w:t>
      </w:r>
      <w:r>
        <w:rPr>
          <w:rFonts w:hint="eastAsia" w:ascii="宋体" w:hAnsi="宋体"/>
          <w:bCs/>
          <w:sz w:val="24"/>
          <w:szCs w:val="24"/>
        </w:rPr>
        <w:t>．环境质量、环境质量评价、环境风险评价的基本概念，环境管理的政策、制度。</w:t>
      </w:r>
    </w:p>
    <w:p w14:paraId="22CC8A1E">
      <w:pPr>
        <w:spacing w:line="400" w:lineRule="exact"/>
        <w:ind w:firstLine="480" w:firstLineChars="200"/>
        <w:rPr>
          <w:rFonts w:ascii="宋体" w:hAnsi="宋体"/>
          <w:bCs/>
          <w:sz w:val="24"/>
          <w:szCs w:val="24"/>
        </w:rPr>
      </w:pPr>
      <w:r>
        <w:rPr>
          <w:rFonts w:ascii="宋体" w:hAnsi="宋体"/>
          <w:bCs/>
          <w:sz w:val="24"/>
          <w:szCs w:val="24"/>
        </w:rPr>
        <w:t>7</w:t>
      </w:r>
      <w:r>
        <w:rPr>
          <w:rFonts w:hint="eastAsia" w:ascii="宋体" w:hAnsi="宋体"/>
          <w:bCs/>
          <w:sz w:val="24"/>
          <w:szCs w:val="24"/>
        </w:rPr>
        <w:t>．</w:t>
      </w:r>
      <w:r>
        <w:rPr>
          <w:rFonts w:hint="eastAsia" w:ascii="宋体" w:hAnsi="宋体"/>
          <w:sz w:val="24"/>
          <w:szCs w:val="21"/>
        </w:rPr>
        <w:t>海洋污染的特点</w:t>
      </w:r>
      <w:r>
        <w:rPr>
          <w:rFonts w:hint="eastAsia" w:ascii="宋体" w:hAnsi="宋体"/>
          <w:bCs/>
          <w:sz w:val="24"/>
          <w:szCs w:val="24"/>
        </w:rPr>
        <w:t>；海洋中主要污染物的种类及其对环境的不利影响。</w:t>
      </w:r>
    </w:p>
    <w:p w14:paraId="42BB9AD3">
      <w:pPr>
        <w:spacing w:line="400" w:lineRule="exact"/>
        <w:ind w:firstLine="480" w:firstLineChars="200"/>
        <w:rPr>
          <w:rFonts w:hint="eastAsia" w:ascii="宋体" w:hAnsi="宋体"/>
          <w:bCs/>
          <w:sz w:val="24"/>
          <w:szCs w:val="24"/>
        </w:rPr>
      </w:pPr>
      <w:r>
        <w:rPr>
          <w:rFonts w:ascii="宋体" w:hAnsi="宋体"/>
          <w:bCs/>
          <w:sz w:val="24"/>
          <w:szCs w:val="24"/>
        </w:rPr>
        <w:t xml:space="preserve">8. </w:t>
      </w:r>
      <w:r>
        <w:rPr>
          <w:rFonts w:hint="eastAsia" w:ascii="宋体" w:hAnsi="宋体"/>
          <w:sz w:val="24"/>
          <w:szCs w:val="21"/>
        </w:rPr>
        <w:t>当前环境热点问题</w:t>
      </w:r>
      <w:r>
        <w:rPr>
          <w:rFonts w:hint="eastAsia" w:ascii="宋体" w:hAnsi="宋体"/>
          <w:bCs/>
          <w:sz w:val="24"/>
          <w:szCs w:val="24"/>
        </w:rPr>
        <w:t>。</w:t>
      </w:r>
    </w:p>
    <w:p w14:paraId="32FD585E">
      <w:pPr>
        <w:spacing w:line="360" w:lineRule="auto"/>
        <w:jc w:val="center"/>
        <w:rPr>
          <w:rFonts w:hint="eastAsia" w:ascii="宋体" w:hAnsi="宋体"/>
          <w:b/>
          <w:bCs/>
          <w:sz w:val="28"/>
          <w:szCs w:val="24"/>
        </w:rPr>
      </w:pPr>
      <w:r>
        <w:rPr>
          <w:rFonts w:hint="eastAsia" w:ascii="宋体" w:hAnsi="宋体"/>
          <w:b/>
          <w:sz w:val="28"/>
          <w:szCs w:val="24"/>
        </w:rPr>
        <w:t>环境工程学部分</w:t>
      </w:r>
    </w:p>
    <w:p w14:paraId="30A0AFAB">
      <w:pPr>
        <w:spacing w:line="400" w:lineRule="exact"/>
        <w:ind w:firstLine="480" w:firstLineChars="200"/>
        <w:rPr>
          <w:rFonts w:hint="eastAsia" w:ascii="宋体" w:hAnsi="宋体"/>
          <w:sz w:val="24"/>
        </w:rPr>
      </w:pPr>
      <w:r>
        <w:rPr>
          <w:rFonts w:hint="eastAsia" w:ascii="宋体" w:hAnsi="宋体"/>
          <w:sz w:val="24"/>
        </w:rPr>
        <w:t xml:space="preserve">1. </w:t>
      </w:r>
      <w:r>
        <w:rPr>
          <w:rFonts w:hint="eastAsia" w:ascii="宋体" w:hAnsi="宋体"/>
          <w:sz w:val="24"/>
          <w:szCs w:val="21"/>
        </w:rPr>
        <w:t>水质指标的组成及水质标准</w:t>
      </w:r>
      <w:r>
        <w:rPr>
          <w:rFonts w:hint="eastAsia" w:ascii="宋体" w:hAnsi="宋体"/>
          <w:sz w:val="24"/>
        </w:rPr>
        <w:t>。生活污水、工业废水、农业废水的成分差异与性质。水环境容量与水体自净的关系。水处理的基本原则和方法。</w:t>
      </w:r>
    </w:p>
    <w:p w14:paraId="489CB499">
      <w:pPr>
        <w:spacing w:line="400" w:lineRule="exact"/>
        <w:ind w:firstLine="480" w:firstLineChars="200"/>
        <w:rPr>
          <w:rFonts w:hint="eastAsia" w:ascii="宋体" w:hAnsi="宋体"/>
          <w:sz w:val="24"/>
        </w:rPr>
      </w:pPr>
      <w:r>
        <w:rPr>
          <w:rFonts w:hint="eastAsia" w:ascii="宋体" w:hAnsi="宋体"/>
          <w:sz w:val="24"/>
        </w:rPr>
        <w:t>2. 水中颗粒污染物、悬浮物质、胶体、溶解性物质的去除方法及原理。</w:t>
      </w:r>
      <w:r>
        <w:rPr>
          <w:rFonts w:hint="eastAsia" w:ascii="宋体" w:hAnsi="宋体"/>
          <w:sz w:val="24"/>
          <w:szCs w:val="21"/>
        </w:rPr>
        <w:t>水中致病微生物的检测方法</w:t>
      </w:r>
      <w:r>
        <w:rPr>
          <w:rFonts w:hint="eastAsia" w:ascii="宋体" w:hAnsi="宋体"/>
          <w:sz w:val="24"/>
        </w:rPr>
        <w:t>、标准、削减方法。物理化学处理方法，如中和法、高级氧化法、电化学法等的基本原理。</w:t>
      </w:r>
    </w:p>
    <w:p w14:paraId="620A2317">
      <w:pPr>
        <w:spacing w:line="400" w:lineRule="exact"/>
        <w:ind w:firstLine="480" w:firstLineChars="200"/>
        <w:rPr>
          <w:rFonts w:hint="eastAsia" w:ascii="宋体" w:hAnsi="宋体"/>
          <w:sz w:val="24"/>
        </w:rPr>
      </w:pPr>
      <w:r>
        <w:rPr>
          <w:rFonts w:hint="eastAsia" w:ascii="宋体" w:hAnsi="宋体"/>
          <w:sz w:val="24"/>
        </w:rPr>
        <w:t>3. 废水处理中与脱氮除磷相关的微生物种类、生长动力学及生理学特征。好氧、</w:t>
      </w:r>
      <w:r>
        <w:rPr>
          <w:rFonts w:hint="eastAsia" w:ascii="宋体" w:hAnsi="宋体"/>
          <w:sz w:val="24"/>
          <w:szCs w:val="21"/>
        </w:rPr>
        <w:t>厌氧生物处理及技术的生物学机理及影响因素</w:t>
      </w:r>
      <w:r>
        <w:rPr>
          <w:rFonts w:hint="eastAsia" w:ascii="宋体" w:hAnsi="宋体"/>
          <w:sz w:val="24"/>
        </w:rPr>
        <w:t>。污泥厌氧消化的主要阶段过程。有机废水的厌氧生物处理技术。人工湿地处理技术的净化机理及分类。</w:t>
      </w:r>
    </w:p>
    <w:p w14:paraId="1E41622D">
      <w:pPr>
        <w:spacing w:line="400" w:lineRule="exact"/>
        <w:ind w:firstLine="480" w:firstLineChars="200"/>
        <w:rPr>
          <w:rFonts w:hint="eastAsia" w:ascii="宋体" w:hAnsi="宋体"/>
          <w:sz w:val="24"/>
        </w:rPr>
      </w:pPr>
      <w:r>
        <w:rPr>
          <w:rFonts w:hint="eastAsia" w:ascii="宋体" w:hAnsi="宋体"/>
          <w:sz w:val="24"/>
        </w:rPr>
        <w:t>4. 给水和排水工程系统的组成及工艺特征。水再生处理工艺流程及回用标准。</w:t>
      </w:r>
      <w:r>
        <w:rPr>
          <w:rFonts w:hint="eastAsia" w:ascii="宋体" w:hAnsi="宋体"/>
          <w:sz w:val="24"/>
          <w:szCs w:val="21"/>
        </w:rPr>
        <w:t>废水最终处置的途径及排放口位置的处置特征</w:t>
      </w:r>
      <w:r>
        <w:rPr>
          <w:rFonts w:hint="eastAsia" w:ascii="宋体" w:hAnsi="宋体"/>
          <w:sz w:val="24"/>
        </w:rPr>
        <w:t>。</w:t>
      </w:r>
    </w:p>
    <w:p w14:paraId="65CE6B7A">
      <w:pPr>
        <w:spacing w:line="400" w:lineRule="exact"/>
        <w:ind w:firstLine="480" w:firstLineChars="200"/>
        <w:rPr>
          <w:rFonts w:hint="eastAsia" w:ascii="宋体" w:hAnsi="宋体"/>
          <w:sz w:val="24"/>
        </w:rPr>
      </w:pPr>
      <w:r>
        <w:rPr>
          <w:rFonts w:hint="eastAsia" w:ascii="宋体" w:hAnsi="宋体"/>
          <w:sz w:val="24"/>
        </w:rPr>
        <w:t>5.大气污染综合防治的含义及其防治措施。环境空气质量标准，大气污染排放标准、</w:t>
      </w:r>
      <w:r>
        <w:rPr>
          <w:rFonts w:hint="eastAsia" w:ascii="宋体" w:hAnsi="宋体"/>
          <w:sz w:val="24"/>
          <w:szCs w:val="21"/>
        </w:rPr>
        <w:t>控制技术标准</w:t>
      </w:r>
      <w:r>
        <w:rPr>
          <w:rFonts w:hint="eastAsia" w:ascii="宋体" w:hAnsi="宋体"/>
          <w:sz w:val="24"/>
        </w:rPr>
        <w:t>、污染警报标准。颗粒污染物粒径分布、物理性质、捕集理论基础。机械除尘的方式、电除尘、袋式除尘、湿式除尘的工作原理、性能、类型和结构、选择原则及其研究进展。</w:t>
      </w:r>
    </w:p>
    <w:p w14:paraId="6AC177F7">
      <w:pPr>
        <w:spacing w:line="400" w:lineRule="exact"/>
        <w:ind w:firstLine="480" w:firstLineChars="200"/>
        <w:rPr>
          <w:rFonts w:hint="eastAsia" w:ascii="宋体" w:hAnsi="宋体"/>
          <w:sz w:val="24"/>
        </w:rPr>
      </w:pPr>
      <w:r>
        <w:rPr>
          <w:rFonts w:ascii="宋体" w:hAnsi="宋体"/>
          <w:sz w:val="24"/>
        </w:rPr>
        <w:t>6</w:t>
      </w:r>
      <w:r>
        <w:rPr>
          <w:rFonts w:hint="eastAsia" w:ascii="宋体" w:hAnsi="宋体"/>
          <w:sz w:val="24"/>
        </w:rPr>
        <w:t xml:space="preserve">. </w:t>
      </w:r>
      <w:r>
        <w:rPr>
          <w:rFonts w:hint="eastAsia" w:ascii="宋体" w:hAnsi="宋体"/>
          <w:sz w:val="24"/>
          <w:szCs w:val="21"/>
        </w:rPr>
        <w:t>大气污染物净化原理</w:t>
      </w:r>
      <w:r>
        <w:rPr>
          <w:rFonts w:hint="eastAsia" w:ascii="宋体" w:hAnsi="宋体"/>
          <w:sz w:val="24"/>
        </w:rPr>
        <w:t>，如吸收法、吸附法、催化法等。二氧化硫、氮氧化物、挥发性有机物(VOCs)相关控制技术及原理。大气污染物稀释法控制中涉及的扩散模式、落地浓度计算等。</w:t>
      </w:r>
    </w:p>
    <w:p w14:paraId="2981DC17">
      <w:pPr>
        <w:spacing w:line="400" w:lineRule="exact"/>
        <w:ind w:firstLine="480" w:firstLineChars="200"/>
        <w:rPr>
          <w:rFonts w:hint="eastAsia" w:ascii="宋体" w:hAnsi="宋体"/>
          <w:sz w:val="24"/>
        </w:rPr>
      </w:pPr>
      <w:r>
        <w:rPr>
          <w:rFonts w:ascii="宋体" w:hAnsi="宋体"/>
          <w:sz w:val="24"/>
        </w:rPr>
        <w:t>7</w:t>
      </w:r>
      <w:r>
        <w:rPr>
          <w:rFonts w:hint="eastAsia" w:ascii="宋体" w:hAnsi="宋体"/>
          <w:sz w:val="24"/>
        </w:rPr>
        <w:t xml:space="preserve">. </w:t>
      </w:r>
      <w:r>
        <w:rPr>
          <w:rFonts w:hint="eastAsia" w:ascii="宋体" w:hAnsi="宋体"/>
          <w:sz w:val="24"/>
          <w:szCs w:val="21"/>
        </w:rPr>
        <w:t>固体废物的定义</w:t>
      </w:r>
      <w:r>
        <w:rPr>
          <w:rFonts w:hint="eastAsia" w:ascii="宋体" w:hAnsi="宋体"/>
          <w:sz w:val="24"/>
        </w:rPr>
        <w:t>、产生的途径、分类、对环境的危害。固废的性质、组成、及理化性质。固废产量及测算方法，减少固废产量的途径。城市垃圾的收集、储存与运输。城市垃圾处理技术。危险废物的性质，化学和固化处理方法。</w:t>
      </w:r>
    </w:p>
    <w:p w14:paraId="46331828">
      <w:pPr>
        <w:spacing w:line="400" w:lineRule="exact"/>
        <w:ind w:firstLine="480" w:firstLineChars="200"/>
        <w:rPr>
          <w:rFonts w:ascii="宋体" w:hAnsi="宋体"/>
          <w:sz w:val="24"/>
        </w:rPr>
      </w:pPr>
      <w:r>
        <w:rPr>
          <w:rFonts w:ascii="宋体" w:hAnsi="宋体"/>
          <w:sz w:val="24"/>
        </w:rPr>
        <w:t>8</w:t>
      </w:r>
      <w:r>
        <w:rPr>
          <w:rFonts w:hint="eastAsia" w:ascii="宋体" w:hAnsi="宋体"/>
          <w:sz w:val="24"/>
        </w:rPr>
        <w:t>.固废资源化的意义和资源化系统的组成。生物化学处理新技术在固废资源化中的应用。</w:t>
      </w:r>
      <w:r>
        <w:rPr>
          <w:rFonts w:hint="eastAsia" w:ascii="宋体" w:hAnsi="宋体"/>
          <w:sz w:val="24"/>
          <w:szCs w:val="21"/>
        </w:rPr>
        <w:t>城市垃圾焚烧与热转化产品的回收技术</w:t>
      </w:r>
      <w:r>
        <w:rPr>
          <w:rFonts w:hint="eastAsia" w:ascii="宋体" w:hAnsi="宋体"/>
          <w:sz w:val="24"/>
        </w:rPr>
        <w:t>，焚烧基本条件与热量、物料衡算等。固废最终处置的含义及处置途径、危险废物安全填埋场的结构与安全措施。</w:t>
      </w:r>
    </w:p>
    <w:p w14:paraId="7A2FC28F">
      <w:pPr>
        <w:spacing w:line="360" w:lineRule="auto"/>
        <w:jc w:val="center"/>
        <w:rPr>
          <w:rFonts w:hint="eastAsia" w:ascii="宋体" w:hAnsi="宋体"/>
          <w:b/>
          <w:bCs/>
          <w:sz w:val="28"/>
          <w:szCs w:val="24"/>
        </w:rPr>
      </w:pPr>
      <w:r>
        <w:rPr>
          <w:rFonts w:hint="eastAsia" w:ascii="宋体" w:hAnsi="宋体"/>
          <w:b/>
          <w:bCs/>
          <w:sz w:val="28"/>
          <w:szCs w:val="24"/>
        </w:rPr>
        <w:t>环境微生物学部分</w:t>
      </w:r>
    </w:p>
    <w:p w14:paraId="1E3AAFBD">
      <w:pPr>
        <w:spacing w:line="400" w:lineRule="exact"/>
        <w:ind w:firstLine="480" w:firstLineChars="200"/>
        <w:rPr>
          <w:rFonts w:hint="eastAsia" w:ascii="宋体" w:hAnsi="宋体"/>
          <w:bCs/>
          <w:sz w:val="24"/>
          <w:szCs w:val="24"/>
        </w:rPr>
      </w:pPr>
      <w:r>
        <w:rPr>
          <w:rFonts w:hint="eastAsia" w:ascii="宋体" w:hAnsi="宋体"/>
          <w:bCs/>
          <w:sz w:val="24"/>
          <w:szCs w:val="24"/>
        </w:rPr>
        <w:t>1.</w:t>
      </w:r>
      <w:r>
        <w:rPr>
          <w:rFonts w:hint="eastAsia" w:ascii="宋体" w:hAnsi="宋体"/>
          <w:bCs/>
          <w:sz w:val="24"/>
          <w:szCs w:val="24"/>
        </w:rPr>
        <w:tab/>
      </w:r>
      <w:r>
        <w:rPr>
          <w:rFonts w:hint="eastAsia" w:ascii="宋体" w:hAnsi="宋体"/>
          <w:bCs/>
          <w:sz w:val="24"/>
          <w:szCs w:val="24"/>
        </w:rPr>
        <w:t>环境微生物学的概念、研究内容、微生物分类依据；微生物命名法原则、</w:t>
      </w:r>
      <w:r>
        <w:rPr>
          <w:rFonts w:hint="eastAsia" w:ascii="宋体" w:hAnsi="宋体"/>
          <w:sz w:val="24"/>
          <w:szCs w:val="21"/>
        </w:rPr>
        <w:t>微生物的主要特征</w:t>
      </w:r>
      <w:r>
        <w:rPr>
          <w:rFonts w:hint="eastAsia" w:ascii="宋体" w:hAnsi="宋体"/>
          <w:bCs/>
          <w:sz w:val="24"/>
          <w:szCs w:val="24"/>
        </w:rPr>
        <w:t>。</w:t>
      </w:r>
    </w:p>
    <w:p w14:paraId="61A96F03">
      <w:pPr>
        <w:spacing w:line="400" w:lineRule="exact"/>
        <w:ind w:firstLine="480" w:firstLineChars="200"/>
        <w:rPr>
          <w:rFonts w:hint="eastAsia" w:ascii="宋体" w:hAnsi="宋体"/>
          <w:bCs/>
          <w:sz w:val="24"/>
          <w:szCs w:val="24"/>
        </w:rPr>
      </w:pPr>
      <w:r>
        <w:rPr>
          <w:rFonts w:hint="eastAsia" w:ascii="宋体" w:hAnsi="宋体"/>
          <w:bCs/>
          <w:sz w:val="24"/>
          <w:szCs w:val="24"/>
        </w:rPr>
        <w:t>2.</w:t>
      </w:r>
      <w:r>
        <w:rPr>
          <w:rFonts w:hint="eastAsia" w:ascii="宋体" w:hAnsi="宋体"/>
          <w:bCs/>
          <w:sz w:val="24"/>
          <w:szCs w:val="24"/>
        </w:rPr>
        <w:tab/>
      </w:r>
      <w:r>
        <w:rPr>
          <w:rFonts w:hint="eastAsia" w:ascii="宋体" w:hAnsi="宋体"/>
          <w:sz w:val="24"/>
          <w:szCs w:val="21"/>
        </w:rPr>
        <w:t>病毒的主要特征</w:t>
      </w:r>
      <w:r>
        <w:rPr>
          <w:rFonts w:hint="eastAsia" w:ascii="宋体" w:hAnsi="宋体"/>
          <w:bCs/>
          <w:sz w:val="24"/>
          <w:szCs w:val="24"/>
        </w:rPr>
        <w:t>、基本结构、检测与定量、增殖方式；病毒的去除及在环境工程中的应用。</w:t>
      </w:r>
    </w:p>
    <w:p w14:paraId="4E581312">
      <w:pPr>
        <w:spacing w:line="400" w:lineRule="exact"/>
        <w:ind w:firstLine="480" w:firstLineChars="200"/>
        <w:rPr>
          <w:rFonts w:hint="eastAsia" w:ascii="宋体" w:hAnsi="宋体"/>
          <w:bCs/>
          <w:sz w:val="24"/>
          <w:szCs w:val="24"/>
        </w:rPr>
      </w:pPr>
      <w:r>
        <w:rPr>
          <w:rFonts w:hint="eastAsia" w:ascii="宋体" w:hAnsi="宋体"/>
          <w:bCs/>
          <w:sz w:val="24"/>
          <w:szCs w:val="24"/>
        </w:rPr>
        <w:t>3.</w:t>
      </w:r>
      <w:r>
        <w:rPr>
          <w:rFonts w:hint="eastAsia" w:ascii="宋体" w:hAnsi="宋体"/>
          <w:bCs/>
          <w:sz w:val="24"/>
          <w:szCs w:val="24"/>
        </w:rPr>
        <w:tab/>
      </w:r>
      <w:r>
        <w:rPr>
          <w:rFonts w:hint="eastAsia" w:ascii="宋体" w:hAnsi="宋体"/>
          <w:bCs/>
          <w:sz w:val="24"/>
          <w:szCs w:val="24"/>
        </w:rPr>
        <w:t>细菌细胞壁的结构与功能；细菌特殊结构，即荚膜、鞭毛、菌毛、芽胞的概念及作用；</w:t>
      </w:r>
      <w:r>
        <w:rPr>
          <w:rFonts w:hint="eastAsia" w:ascii="宋体" w:hAnsi="宋体"/>
          <w:sz w:val="24"/>
          <w:szCs w:val="21"/>
        </w:rPr>
        <w:t>细菌的培养特征</w:t>
      </w:r>
      <w:r>
        <w:rPr>
          <w:rFonts w:hint="eastAsia" w:ascii="宋体" w:hAnsi="宋体"/>
          <w:bCs/>
          <w:sz w:val="24"/>
          <w:szCs w:val="24"/>
        </w:rPr>
        <w:t>；细菌形态特征观察、大小测量方法；革兰氏染色步骤及机理。</w:t>
      </w:r>
    </w:p>
    <w:p w14:paraId="5A79D2CB">
      <w:pPr>
        <w:spacing w:line="400" w:lineRule="exact"/>
        <w:ind w:firstLine="480" w:firstLineChars="200"/>
        <w:rPr>
          <w:rFonts w:hint="eastAsia" w:ascii="宋体" w:hAnsi="宋体"/>
          <w:bCs/>
          <w:sz w:val="24"/>
          <w:szCs w:val="24"/>
        </w:rPr>
      </w:pPr>
      <w:r>
        <w:rPr>
          <w:rFonts w:ascii="宋体" w:hAnsi="宋体"/>
          <w:bCs/>
          <w:sz w:val="24"/>
          <w:szCs w:val="24"/>
        </w:rPr>
        <w:t>4</w:t>
      </w:r>
      <w:r>
        <w:rPr>
          <w:rFonts w:hint="eastAsia" w:ascii="宋体" w:hAnsi="宋体"/>
          <w:bCs/>
          <w:sz w:val="24"/>
          <w:szCs w:val="24"/>
        </w:rPr>
        <w:t>.</w:t>
      </w:r>
      <w:r>
        <w:rPr>
          <w:rFonts w:hint="eastAsia" w:ascii="宋体" w:hAnsi="宋体"/>
          <w:bCs/>
          <w:sz w:val="24"/>
          <w:szCs w:val="24"/>
        </w:rPr>
        <w:tab/>
      </w:r>
      <w:r>
        <w:rPr>
          <w:rFonts w:hint="eastAsia" w:ascii="宋体" w:hAnsi="宋体"/>
          <w:sz w:val="24"/>
          <w:szCs w:val="21"/>
        </w:rPr>
        <w:t>原生动物种类</w:t>
      </w:r>
      <w:r>
        <w:rPr>
          <w:rFonts w:hint="eastAsia" w:ascii="宋体" w:hAnsi="宋体"/>
          <w:bCs/>
          <w:sz w:val="24"/>
          <w:szCs w:val="24"/>
        </w:rPr>
        <w:t>、特征及其在污水处理中的作用。</w:t>
      </w:r>
    </w:p>
    <w:p w14:paraId="67FFD122">
      <w:pPr>
        <w:spacing w:line="400" w:lineRule="exact"/>
        <w:ind w:firstLine="480" w:firstLineChars="200"/>
        <w:rPr>
          <w:rFonts w:hint="eastAsia" w:ascii="宋体" w:hAnsi="宋体"/>
          <w:bCs/>
          <w:sz w:val="24"/>
          <w:szCs w:val="24"/>
        </w:rPr>
      </w:pPr>
      <w:r>
        <w:rPr>
          <w:rFonts w:ascii="宋体" w:hAnsi="宋体"/>
          <w:bCs/>
          <w:sz w:val="24"/>
          <w:szCs w:val="24"/>
        </w:rPr>
        <w:t>5</w:t>
      </w:r>
      <w:r>
        <w:rPr>
          <w:rFonts w:hint="eastAsia" w:ascii="宋体" w:hAnsi="宋体"/>
          <w:bCs/>
          <w:sz w:val="24"/>
          <w:szCs w:val="24"/>
        </w:rPr>
        <w:t>.</w:t>
      </w:r>
      <w:r>
        <w:rPr>
          <w:rFonts w:hint="eastAsia" w:ascii="宋体" w:hAnsi="宋体"/>
          <w:bCs/>
          <w:sz w:val="24"/>
          <w:szCs w:val="24"/>
        </w:rPr>
        <w:tab/>
      </w:r>
      <w:r>
        <w:rPr>
          <w:rFonts w:hint="eastAsia" w:ascii="宋体" w:hAnsi="宋体"/>
          <w:bCs/>
          <w:sz w:val="24"/>
          <w:szCs w:val="24"/>
        </w:rPr>
        <w:t>微生物分离、培养与控制的基本方法；微生物生长量的检测方法、</w:t>
      </w:r>
      <w:r>
        <w:rPr>
          <w:rFonts w:hint="eastAsia" w:ascii="宋体" w:hAnsi="宋体"/>
          <w:sz w:val="24"/>
          <w:szCs w:val="21"/>
        </w:rPr>
        <w:t>分批纯培养的生长曲线及特征</w:t>
      </w:r>
      <w:r>
        <w:rPr>
          <w:rFonts w:hint="eastAsia" w:ascii="宋体" w:hAnsi="宋体"/>
          <w:bCs/>
          <w:sz w:val="24"/>
          <w:szCs w:val="24"/>
        </w:rPr>
        <w:t>。</w:t>
      </w:r>
    </w:p>
    <w:p w14:paraId="4EA8887F">
      <w:pPr>
        <w:spacing w:line="400" w:lineRule="exact"/>
        <w:ind w:firstLine="480" w:firstLineChars="200"/>
        <w:rPr>
          <w:rFonts w:hint="eastAsia" w:ascii="宋体" w:hAnsi="宋体"/>
          <w:bCs/>
          <w:sz w:val="24"/>
          <w:szCs w:val="24"/>
        </w:rPr>
      </w:pPr>
      <w:r>
        <w:rPr>
          <w:rFonts w:ascii="宋体" w:hAnsi="宋体"/>
          <w:bCs/>
          <w:sz w:val="24"/>
          <w:szCs w:val="24"/>
        </w:rPr>
        <w:t>6</w:t>
      </w:r>
      <w:r>
        <w:rPr>
          <w:rFonts w:hint="eastAsia" w:ascii="宋体" w:hAnsi="宋体"/>
          <w:bCs/>
          <w:sz w:val="24"/>
          <w:szCs w:val="24"/>
        </w:rPr>
        <w:t>.</w:t>
      </w:r>
      <w:r>
        <w:rPr>
          <w:rFonts w:hint="eastAsia" w:ascii="宋体" w:hAnsi="宋体"/>
          <w:bCs/>
          <w:sz w:val="24"/>
          <w:szCs w:val="24"/>
        </w:rPr>
        <w:tab/>
      </w:r>
      <w:r>
        <w:rPr>
          <w:rFonts w:hint="eastAsia" w:ascii="宋体" w:hAnsi="宋体"/>
          <w:sz w:val="24"/>
          <w:szCs w:val="21"/>
        </w:rPr>
        <w:t>微生物之间的生态学关系</w:t>
      </w:r>
      <w:r>
        <w:rPr>
          <w:rFonts w:hint="eastAsia" w:ascii="宋体" w:hAnsi="宋体"/>
          <w:bCs/>
          <w:sz w:val="24"/>
          <w:szCs w:val="24"/>
        </w:rPr>
        <w:t>。</w:t>
      </w:r>
    </w:p>
    <w:p w14:paraId="3DAB786B">
      <w:pPr>
        <w:spacing w:line="400" w:lineRule="exact"/>
        <w:ind w:firstLine="480" w:firstLineChars="200"/>
        <w:rPr>
          <w:rFonts w:hint="eastAsia" w:ascii="宋体" w:hAnsi="宋体"/>
          <w:bCs/>
          <w:sz w:val="24"/>
          <w:szCs w:val="24"/>
        </w:rPr>
      </w:pPr>
      <w:r>
        <w:rPr>
          <w:rFonts w:ascii="宋体" w:hAnsi="宋体"/>
          <w:bCs/>
          <w:sz w:val="24"/>
          <w:szCs w:val="24"/>
        </w:rPr>
        <w:t>7</w:t>
      </w:r>
      <w:r>
        <w:rPr>
          <w:rFonts w:hint="eastAsia" w:ascii="宋体" w:hAnsi="宋体"/>
          <w:bCs/>
          <w:sz w:val="24"/>
          <w:szCs w:val="24"/>
        </w:rPr>
        <w:t>.</w:t>
      </w:r>
      <w:r>
        <w:rPr>
          <w:rFonts w:hint="eastAsia" w:ascii="宋体" w:hAnsi="宋体"/>
          <w:bCs/>
          <w:sz w:val="24"/>
          <w:szCs w:val="24"/>
        </w:rPr>
        <w:tab/>
      </w:r>
      <w:r>
        <w:rPr>
          <w:rFonts w:hint="eastAsia" w:ascii="宋体" w:hAnsi="宋体"/>
          <w:bCs/>
          <w:sz w:val="24"/>
          <w:szCs w:val="24"/>
        </w:rPr>
        <w:t>微生物在物质循环中的作用：包含碳、氮、硫循环的基本概念、原理及微生物在碳、氮、</w:t>
      </w:r>
      <w:r>
        <w:rPr>
          <w:rFonts w:hint="eastAsia" w:ascii="宋体" w:hAnsi="宋体"/>
          <w:sz w:val="24"/>
          <w:szCs w:val="21"/>
        </w:rPr>
        <w:t>硫循环中的作用和贡献</w:t>
      </w:r>
      <w:r>
        <w:rPr>
          <w:rFonts w:hint="eastAsia" w:ascii="宋体" w:hAnsi="宋体"/>
          <w:bCs/>
          <w:sz w:val="24"/>
          <w:szCs w:val="24"/>
        </w:rPr>
        <w:t>。</w:t>
      </w:r>
    </w:p>
    <w:p w14:paraId="6D99DA60">
      <w:pPr>
        <w:spacing w:line="400" w:lineRule="exact"/>
        <w:ind w:firstLine="480" w:firstLineChars="200"/>
        <w:rPr>
          <w:rFonts w:ascii="宋体" w:hAnsi="宋体"/>
          <w:bCs/>
          <w:sz w:val="24"/>
          <w:szCs w:val="24"/>
        </w:rPr>
      </w:pPr>
      <w:r>
        <w:rPr>
          <w:rFonts w:ascii="宋体" w:hAnsi="宋体"/>
          <w:bCs/>
          <w:sz w:val="24"/>
          <w:szCs w:val="24"/>
        </w:rPr>
        <w:t>8</w:t>
      </w:r>
      <w:r>
        <w:rPr>
          <w:rFonts w:hint="eastAsia" w:ascii="宋体" w:hAnsi="宋体"/>
          <w:bCs/>
          <w:sz w:val="24"/>
          <w:szCs w:val="24"/>
        </w:rPr>
        <w:t>.</w:t>
      </w:r>
      <w:r>
        <w:rPr>
          <w:rFonts w:hint="eastAsia" w:ascii="宋体" w:hAnsi="宋体"/>
          <w:bCs/>
          <w:sz w:val="24"/>
          <w:szCs w:val="24"/>
        </w:rPr>
        <w:tab/>
      </w:r>
      <w:r>
        <w:rPr>
          <w:rFonts w:hint="eastAsia" w:ascii="宋体" w:hAnsi="宋体"/>
          <w:sz w:val="24"/>
          <w:szCs w:val="21"/>
        </w:rPr>
        <w:t>水污染防治中微生物生态学原理及应用</w:t>
      </w:r>
      <w:r>
        <w:rPr>
          <w:rFonts w:hint="eastAsia" w:ascii="宋体" w:hAnsi="宋体"/>
          <w:bCs/>
          <w:sz w:val="24"/>
          <w:szCs w:val="24"/>
        </w:rPr>
        <w:t>。</w:t>
      </w:r>
    </w:p>
    <w:p w14:paraId="3AA9E315">
      <w:pPr>
        <w:spacing w:line="360" w:lineRule="auto"/>
        <w:rPr>
          <w:rFonts w:hint="eastAsia" w:ascii="宋体" w:hAnsi="宋体"/>
          <w:color w:val="FF0000"/>
          <w:sz w:val="24"/>
          <w:szCs w:val="24"/>
        </w:rPr>
      </w:pPr>
    </w:p>
    <w:p w14:paraId="2E47EB57">
      <w:pPr>
        <w:spacing w:line="360" w:lineRule="auto"/>
        <w:rPr>
          <w:rFonts w:hint="eastAsia" w:ascii="宋体" w:hAnsi="宋体"/>
          <w:color w:val="FF0000"/>
          <w:sz w:val="24"/>
        </w:rPr>
      </w:pPr>
    </w:p>
    <w:p w14:paraId="6566FF2D">
      <w:pPr>
        <w:rPr>
          <w:rFonts w:hint="eastAsia"/>
        </w:rPr>
      </w:pPr>
    </w:p>
    <w:p w14:paraId="1CC46416">
      <w:pPr>
        <w:rPr>
          <w:color w:val="FF0000"/>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1D723">
    <w:pPr>
      <w:pStyle w:val="9"/>
      <w:jc w:val="center"/>
    </w:pPr>
    <w:r>
      <w:fldChar w:fldCharType="begin"/>
    </w:r>
    <w:r>
      <w:instrText xml:space="preserve">PAGE   \* MERGEFORMAT</w:instrText>
    </w:r>
    <w:r>
      <w:fldChar w:fldCharType="separate"/>
    </w:r>
    <w:r>
      <w:rPr>
        <w:lang w:val="zh-CN"/>
      </w:rPr>
      <w:t>2</w:t>
    </w:r>
    <w:r>
      <w:fldChar w:fldCharType="end"/>
    </w:r>
  </w:p>
  <w:p w14:paraId="3964CEF1">
    <w:pPr>
      <w:pStyle w:val="9"/>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4ODlhYTk2ZDIzNzU3MmE1M2M0Y2Q2ZTkyNDlhMzcifQ=="/>
  </w:docVars>
  <w:rsids>
    <w:rsidRoot w:val="00172A27"/>
    <w:rsid w:val="0005306C"/>
    <w:rsid w:val="00136BA7"/>
    <w:rsid w:val="0015552B"/>
    <w:rsid w:val="003929B1"/>
    <w:rsid w:val="003D5A8B"/>
    <w:rsid w:val="00402F90"/>
    <w:rsid w:val="00474D4E"/>
    <w:rsid w:val="004E4C18"/>
    <w:rsid w:val="00530EBC"/>
    <w:rsid w:val="005C2677"/>
    <w:rsid w:val="005D608F"/>
    <w:rsid w:val="005E2269"/>
    <w:rsid w:val="00650661"/>
    <w:rsid w:val="006E09CE"/>
    <w:rsid w:val="007E3389"/>
    <w:rsid w:val="008F57B7"/>
    <w:rsid w:val="009E7AA0"/>
    <w:rsid w:val="00A05179"/>
    <w:rsid w:val="00A449C6"/>
    <w:rsid w:val="00A45F24"/>
    <w:rsid w:val="00A63D2A"/>
    <w:rsid w:val="00A85F10"/>
    <w:rsid w:val="00AC7526"/>
    <w:rsid w:val="00C52466"/>
    <w:rsid w:val="00C53B4C"/>
    <w:rsid w:val="00CF1596"/>
    <w:rsid w:val="00E24976"/>
    <w:rsid w:val="00E7374E"/>
    <w:rsid w:val="00EC19FD"/>
    <w:rsid w:val="00EF041C"/>
    <w:rsid w:val="00F3624D"/>
    <w:rsid w:val="00F70488"/>
    <w:rsid w:val="00F9407B"/>
    <w:rsid w:val="00FD6B8D"/>
    <w:rsid w:val="0C617C65"/>
    <w:rsid w:val="129B61D8"/>
    <w:rsid w:val="136D48AC"/>
    <w:rsid w:val="16A27D67"/>
    <w:rsid w:val="174848EB"/>
    <w:rsid w:val="18466AF8"/>
    <w:rsid w:val="18541252"/>
    <w:rsid w:val="1B850F5C"/>
    <w:rsid w:val="20F47472"/>
    <w:rsid w:val="21E42A58"/>
    <w:rsid w:val="255D3B3D"/>
    <w:rsid w:val="28BB2E0B"/>
    <w:rsid w:val="2F2F703D"/>
    <w:rsid w:val="2F7C7FBE"/>
    <w:rsid w:val="2FA03B8C"/>
    <w:rsid w:val="36046551"/>
    <w:rsid w:val="37F0607D"/>
    <w:rsid w:val="3DF94D62"/>
    <w:rsid w:val="47111E96"/>
    <w:rsid w:val="4B1328B7"/>
    <w:rsid w:val="4E027BF4"/>
    <w:rsid w:val="4EC003CD"/>
    <w:rsid w:val="4F1A685F"/>
    <w:rsid w:val="533A26AB"/>
    <w:rsid w:val="53682217"/>
    <w:rsid w:val="53CF5AC9"/>
    <w:rsid w:val="55944A0F"/>
    <w:rsid w:val="56AF40CB"/>
    <w:rsid w:val="5F593708"/>
    <w:rsid w:val="5F990328"/>
    <w:rsid w:val="61C743D6"/>
    <w:rsid w:val="637850BA"/>
    <w:rsid w:val="64EB2AB5"/>
    <w:rsid w:val="6CB95A5F"/>
    <w:rsid w:val="6D41420B"/>
    <w:rsid w:val="6E604605"/>
    <w:rsid w:val="74500B07"/>
    <w:rsid w:val="781C50E7"/>
    <w:rsid w:val="7AE55812"/>
    <w:rsid w:val="7E433AF4"/>
    <w:rsid w:val="7ED303DF"/>
    <w:rsid w:val="DCFFC90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ascii="等线" w:eastAsia="等线"/>
      <w:sz w:val="18"/>
      <w:szCs w:val="18"/>
    </w:rPr>
  </w:style>
  <w:style w:type="paragraph" w:styleId="4">
    <w:name w:val="annotation text"/>
    <w:basedOn w:val="1"/>
    <w:link w:val="23"/>
    <w:unhideWhenUsed/>
    <w:qFormat/>
    <w:uiPriority w:val="99"/>
    <w:pPr>
      <w:jc w:val="left"/>
    </w:pPr>
  </w:style>
  <w:style w:type="paragraph" w:styleId="5">
    <w:name w:val="toc 5"/>
    <w:basedOn w:val="1"/>
    <w:next w:val="1"/>
    <w:unhideWhenUsed/>
    <w:qFormat/>
    <w:uiPriority w:val="39"/>
    <w:pPr>
      <w:ind w:left="840"/>
      <w:jc w:val="left"/>
    </w:pPr>
    <w:rPr>
      <w:rFonts w:ascii="等线" w:eastAsia="等线"/>
      <w:sz w:val="18"/>
      <w:szCs w:val="18"/>
    </w:rPr>
  </w:style>
  <w:style w:type="paragraph" w:styleId="6">
    <w:name w:val="toc 3"/>
    <w:basedOn w:val="1"/>
    <w:next w:val="1"/>
    <w:unhideWhenUsed/>
    <w:qFormat/>
    <w:uiPriority w:val="39"/>
    <w:pPr>
      <w:ind w:left="420"/>
      <w:jc w:val="left"/>
    </w:pPr>
    <w:rPr>
      <w:rFonts w:ascii="等线" w:eastAsia="等线"/>
      <w:i/>
      <w:iCs/>
      <w:sz w:val="20"/>
      <w:szCs w:val="20"/>
    </w:rPr>
  </w:style>
  <w:style w:type="paragraph" w:styleId="7">
    <w:name w:val="toc 8"/>
    <w:basedOn w:val="1"/>
    <w:next w:val="1"/>
    <w:unhideWhenUsed/>
    <w:qFormat/>
    <w:uiPriority w:val="39"/>
    <w:pPr>
      <w:ind w:left="1470"/>
      <w:jc w:val="left"/>
    </w:pPr>
    <w:rPr>
      <w:rFonts w:ascii="等线" w:eastAsia="等线"/>
      <w:sz w:val="18"/>
      <w:szCs w:val="18"/>
    </w:rPr>
  </w:style>
  <w:style w:type="paragraph" w:styleId="8">
    <w:name w:val="Balloon Text"/>
    <w:basedOn w:val="1"/>
    <w:link w:val="24"/>
    <w:unhideWhenUsed/>
    <w:qFormat/>
    <w:uiPriority w:val="99"/>
    <w:rPr>
      <w:sz w:val="18"/>
      <w:szCs w:val="18"/>
    </w:rPr>
  </w:style>
  <w:style w:type="paragraph" w:styleId="9">
    <w:name w:val="footer"/>
    <w:basedOn w:val="1"/>
    <w:link w:val="25"/>
    <w:unhideWhenUsed/>
    <w:qFormat/>
    <w:uiPriority w:val="99"/>
    <w:pPr>
      <w:tabs>
        <w:tab w:val="center" w:pos="4153"/>
        <w:tab w:val="right" w:pos="8306"/>
      </w:tabs>
      <w:snapToGrid w:val="0"/>
      <w:jc w:val="left"/>
    </w:pPr>
    <w:rPr>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spacing w:before="120" w:after="120"/>
      <w:jc w:val="left"/>
    </w:pPr>
    <w:rPr>
      <w:rFonts w:ascii="等线" w:eastAsia="等线"/>
      <w:b/>
      <w:bCs/>
      <w:caps/>
      <w:sz w:val="20"/>
      <w:szCs w:val="20"/>
    </w:rPr>
  </w:style>
  <w:style w:type="paragraph" w:styleId="12">
    <w:name w:val="toc 4"/>
    <w:basedOn w:val="1"/>
    <w:next w:val="1"/>
    <w:unhideWhenUsed/>
    <w:qFormat/>
    <w:uiPriority w:val="39"/>
    <w:pPr>
      <w:ind w:left="630"/>
      <w:jc w:val="left"/>
    </w:pPr>
    <w:rPr>
      <w:rFonts w:ascii="等线" w:eastAsia="等线"/>
      <w:sz w:val="18"/>
      <w:szCs w:val="18"/>
    </w:rPr>
  </w:style>
  <w:style w:type="paragraph" w:styleId="13">
    <w:name w:val="toc 6"/>
    <w:basedOn w:val="1"/>
    <w:next w:val="1"/>
    <w:unhideWhenUsed/>
    <w:uiPriority w:val="39"/>
    <w:pPr>
      <w:ind w:left="1050"/>
      <w:jc w:val="left"/>
    </w:pPr>
    <w:rPr>
      <w:rFonts w:ascii="等线" w:eastAsia="等线"/>
      <w:sz w:val="18"/>
      <w:szCs w:val="18"/>
    </w:rPr>
  </w:style>
  <w:style w:type="paragraph" w:styleId="14">
    <w:name w:val="toc 2"/>
    <w:basedOn w:val="1"/>
    <w:next w:val="1"/>
    <w:unhideWhenUsed/>
    <w:qFormat/>
    <w:uiPriority w:val="39"/>
    <w:pPr>
      <w:ind w:left="210"/>
      <w:jc w:val="left"/>
    </w:pPr>
    <w:rPr>
      <w:rFonts w:ascii="等线" w:eastAsia="等线"/>
      <w:smallCaps/>
      <w:sz w:val="20"/>
      <w:szCs w:val="20"/>
    </w:rPr>
  </w:style>
  <w:style w:type="paragraph" w:styleId="15">
    <w:name w:val="toc 9"/>
    <w:basedOn w:val="1"/>
    <w:next w:val="1"/>
    <w:unhideWhenUsed/>
    <w:qFormat/>
    <w:uiPriority w:val="39"/>
    <w:pPr>
      <w:ind w:left="1680"/>
      <w:jc w:val="left"/>
    </w:pPr>
    <w:rPr>
      <w:rFonts w:ascii="等线" w:eastAsia="等线"/>
      <w:sz w:val="18"/>
      <w:szCs w:val="18"/>
    </w:rPr>
  </w:style>
  <w:style w:type="paragraph" w:styleId="16">
    <w:name w:val="Title"/>
    <w:basedOn w:val="1"/>
    <w:next w:val="1"/>
    <w:link w:val="27"/>
    <w:qFormat/>
    <w:uiPriority w:val="10"/>
    <w:pPr>
      <w:spacing w:before="240" w:after="60"/>
      <w:jc w:val="center"/>
      <w:outlineLvl w:val="0"/>
    </w:pPr>
    <w:rPr>
      <w:rFonts w:ascii="等线 Light" w:hAnsi="等线 Light" w:cs="Times New Roman"/>
      <w:b/>
      <w:bCs/>
      <w:sz w:val="32"/>
      <w:szCs w:val="32"/>
    </w:rPr>
  </w:style>
  <w:style w:type="paragraph" w:styleId="17">
    <w:name w:val="annotation subject"/>
    <w:basedOn w:val="4"/>
    <w:next w:val="4"/>
    <w:link w:val="28"/>
    <w:unhideWhenUsed/>
    <w:uiPriority w:val="99"/>
    <w:rPr>
      <w:b/>
      <w:bCs/>
    </w:rPr>
  </w:style>
  <w:style w:type="character" w:styleId="20">
    <w:name w:val="Hyperlink"/>
    <w:unhideWhenUsed/>
    <w:qFormat/>
    <w:uiPriority w:val="99"/>
    <w:rPr>
      <w:color w:val="0563C1"/>
      <w:u w:val="single"/>
    </w:rPr>
  </w:style>
  <w:style w:type="character" w:styleId="21">
    <w:name w:val="annotation reference"/>
    <w:unhideWhenUsed/>
    <w:qFormat/>
    <w:uiPriority w:val="99"/>
    <w:rPr>
      <w:sz w:val="21"/>
      <w:szCs w:val="21"/>
    </w:rPr>
  </w:style>
  <w:style w:type="character" w:customStyle="1" w:styleId="22">
    <w:name w:val="标题 1 字符"/>
    <w:link w:val="2"/>
    <w:uiPriority w:val="9"/>
    <w:rPr>
      <w:b/>
      <w:bCs/>
      <w:kern w:val="44"/>
      <w:sz w:val="44"/>
      <w:szCs w:val="44"/>
    </w:rPr>
  </w:style>
  <w:style w:type="character" w:customStyle="1" w:styleId="23">
    <w:name w:val="批注文字 字符"/>
    <w:link w:val="4"/>
    <w:qFormat/>
    <w:uiPriority w:val="99"/>
    <w:rPr>
      <w:kern w:val="2"/>
      <w:sz w:val="21"/>
      <w:szCs w:val="22"/>
    </w:rPr>
  </w:style>
  <w:style w:type="character" w:customStyle="1" w:styleId="24">
    <w:name w:val="批注框文本 字符"/>
    <w:link w:val="8"/>
    <w:semiHidden/>
    <w:uiPriority w:val="99"/>
    <w:rPr>
      <w:kern w:val="2"/>
      <w:sz w:val="18"/>
      <w:szCs w:val="18"/>
    </w:rPr>
  </w:style>
  <w:style w:type="character" w:customStyle="1" w:styleId="25">
    <w:name w:val="页脚 字符"/>
    <w:link w:val="9"/>
    <w:qFormat/>
    <w:uiPriority w:val="99"/>
    <w:rPr>
      <w:sz w:val="18"/>
      <w:szCs w:val="18"/>
    </w:rPr>
  </w:style>
  <w:style w:type="character" w:customStyle="1" w:styleId="26">
    <w:name w:val="页眉 字符"/>
    <w:link w:val="10"/>
    <w:semiHidden/>
    <w:uiPriority w:val="99"/>
    <w:rPr>
      <w:sz w:val="18"/>
      <w:szCs w:val="18"/>
    </w:rPr>
  </w:style>
  <w:style w:type="character" w:customStyle="1" w:styleId="27">
    <w:name w:val="标题 字符"/>
    <w:link w:val="16"/>
    <w:qFormat/>
    <w:uiPriority w:val="10"/>
    <w:rPr>
      <w:rFonts w:ascii="等线 Light" w:hAnsi="等线 Light" w:cs="Times New Roman"/>
      <w:b/>
      <w:bCs/>
      <w:kern w:val="2"/>
      <w:sz w:val="32"/>
      <w:szCs w:val="32"/>
    </w:rPr>
  </w:style>
  <w:style w:type="character" w:customStyle="1" w:styleId="28">
    <w:name w:val="批注主题 字符"/>
    <w:link w:val="17"/>
    <w:semiHidden/>
    <w:uiPriority w:val="99"/>
    <w:rPr>
      <w:b/>
      <w:bCs/>
      <w:kern w:val="2"/>
      <w:sz w:val="21"/>
      <w:szCs w:val="22"/>
    </w:rPr>
  </w:style>
  <w:style w:type="paragraph" w:customStyle="1" w:styleId="29">
    <w:name w:val="_Style 28"/>
    <w:unhideWhenUsed/>
    <w:qFormat/>
    <w:uiPriority w:val="99"/>
    <w:rPr>
      <w:rFonts w:ascii="Times New Roman" w:hAnsi="Times New Roman" w:eastAsia="宋体" w:cs="Times New Roman"/>
      <w:kern w:val="2"/>
      <w:sz w:val="21"/>
      <w:szCs w:val="22"/>
      <w:lang w:val="en-US" w:eastAsia="zh-CN" w:bidi="ar-SA"/>
    </w:rPr>
  </w:style>
  <w:style w:type="character" w:customStyle="1" w:styleId="30">
    <w:name w:val="apple-style-span"/>
    <w:qFormat/>
    <w:uiPriority w:val="0"/>
    <w:rPr>
      <w:rFonts w:cs="Times New Roman"/>
    </w:rPr>
  </w:style>
  <w:style w:type="paragraph" w:customStyle="1" w:styleId="31">
    <w:name w:val="_Style 30"/>
    <w:basedOn w:val="2"/>
    <w:next w:val="1"/>
    <w:qFormat/>
    <w:uiPriority w:val="39"/>
    <w:pPr>
      <w:widowControl/>
      <w:spacing w:before="480" w:after="0" w:line="276" w:lineRule="auto"/>
      <w:jc w:val="left"/>
      <w:outlineLvl w:val="9"/>
    </w:pPr>
    <w:rPr>
      <w:rFonts w:ascii="等线 Light" w:hAnsi="等线 Light" w:eastAsia="等线 Light" w:cs="Times New Roman"/>
      <w:color w:val="2F5496"/>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2019</Words>
  <Characters>2054</Characters>
  <Lines>46</Lines>
  <Paragraphs>13</Paragraphs>
  <TotalTime>0</TotalTime>
  <ScaleCrop>false</ScaleCrop>
  <LinksUpToDate>false</LinksUpToDate>
  <CharactersWithSpaces>2070</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2026-07-01T01:39:49Z</dcterms:modified>
  <dc:title>附件7：</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93AA5EF877E743B3B889AD8E49283FD1_13</vt:lpwstr>
  </property>
  <property fmtid="{D5CDD505-2E9C-101B-9397-08002B2CF9AE}" pid="4" name="KSOTemplateDocerSaveRecord">
    <vt:lpwstr>eyJoZGlkIjoiNDIyNzEzY2QzMzA3OWEzMGQ3MzE1ZDllOWZjYjI1N2QiLCJ1c2VySWQiOiIyMDQwMTE2ODcifQ==</vt:lpwstr>
  </property>
</Properties>
</file>