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9C66A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2" w:name="_GoBack"/>
      <w:bookmarkEnd w:id="2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662 公共管理基础</w:t>
      </w:r>
    </w:p>
    <w:p w14:paraId="45496C97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0298A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一、考试性质  </w:t>
      </w:r>
    </w:p>
    <w:p w14:paraId="3C8EB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sz w:val="24"/>
        </w:rPr>
      </w:pPr>
      <w:r>
        <w:rPr>
          <w:sz w:val="24"/>
        </w:rPr>
        <w:t>《公共管理基础》（含公共管理学、公共经济学）是中国海洋大学国际事务与公共管理学院公共管理学一级学科</w:t>
      </w:r>
      <w:r>
        <w:rPr>
          <w:rFonts w:hint="eastAsia"/>
          <w:sz w:val="24"/>
          <w:lang w:val="en-US" w:eastAsia="zh-CN"/>
        </w:rPr>
        <w:t>硕士研究生</w:t>
      </w:r>
      <w:r>
        <w:rPr>
          <w:sz w:val="24"/>
        </w:rPr>
        <w:t>入学考试（初试）的基础课程。</w:t>
      </w:r>
    </w:p>
    <w:p w14:paraId="51A1A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  <w:t>二、考查目标</w:t>
      </w:r>
    </w:p>
    <w:p w14:paraId="0000A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（一）基本目标</w:t>
      </w:r>
    </w:p>
    <w:p w14:paraId="03124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本大纲力求能够科学、准确、规范地测评考生具备的公共管理领域的基础理论知识和综合能力。具体考察考生对公共管理领域知识体系、基本理论、管理职能和管理方法的掌握情况；运用所学理论和方法，去观察和分析现实的公共管理问题，正确把握公共管理活动的内在规律，以及分析问题与解决问题的能力。为国家公平地、科学地选拔具有良好职业道德和职业素养，高层次、应用型、复合型的公共管理专业人才。</w:t>
      </w:r>
    </w:p>
    <w:p w14:paraId="2F721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（二）本大纲的考核要求</w:t>
      </w:r>
    </w:p>
    <w:p w14:paraId="70515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本大纲的考核要求分为：识记、领会、应用三个层次，具体含义是：</w:t>
      </w:r>
    </w:p>
    <w:p w14:paraId="02E5D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识记：能够解释有关概念、理论的含义，并能正确认识和表述。</w:t>
      </w:r>
    </w:p>
    <w:p w14:paraId="7F115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领会：在识记的基础上，能全面把握基本概念、基本理论、基本原则和方法。</w:t>
      </w:r>
    </w:p>
    <w:p w14:paraId="5EA77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应用：在理解的基础上，能综合运用基本概念、基本理论、基本方法分析和解决有关的理论问题和实际问题。</w:t>
      </w:r>
    </w:p>
    <w:p w14:paraId="2CCFB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  <w:t>三、考试形式</w:t>
      </w:r>
    </w:p>
    <w:p w14:paraId="0F5BD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本考试为闭卷考试，满分为150分，考试时间为180分钟。</w:t>
      </w:r>
    </w:p>
    <w:p w14:paraId="41C50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  <w:t>四、考试内容</w:t>
      </w:r>
    </w:p>
    <w:p w14:paraId="26C83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（一）公共管理学  </w:t>
      </w:r>
    </w:p>
    <w:p w14:paraId="491B3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1.公共管理概述</w:t>
      </w:r>
    </w:p>
    <w:p w14:paraId="22C7E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公共管理的概念界定；公共管理的理论与实践发展；公共管理的研究路径。</w:t>
      </w:r>
    </w:p>
    <w:p w14:paraId="0331E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2.公共部门的角色</w:t>
      </w:r>
    </w:p>
    <w:p w14:paraId="4CCAC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公共部门的性质与需要；市场机制、市场失灵与政府干预；现代政府职能；政府失灵。</w:t>
      </w:r>
    </w:p>
    <w:p w14:paraId="1618F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3.公共组织</w:t>
      </w:r>
    </w:p>
    <w:p w14:paraId="227FA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公共组织的特性；公共组织设计与管理的一般原则；传统科层组织及其困境；组织学习与组织变革。</w:t>
      </w:r>
    </w:p>
    <w:p w14:paraId="26BCB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4.第三部门管理</w:t>
      </w:r>
    </w:p>
    <w:p w14:paraId="415D0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第三部门的涵义与特征；全球第三部门的崛起；第三部门的地位与作用。</w:t>
      </w:r>
    </w:p>
    <w:p w14:paraId="43979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5.公共部门人力资源管理</w:t>
      </w:r>
    </w:p>
    <w:p w14:paraId="21030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公共部门人力资源管理的战略目标；公共部门人力资源管理的基本制度；现代公共人力资源管理发展的趋势与改革。</w:t>
      </w:r>
    </w:p>
    <w:p w14:paraId="3834F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6.公共部门绩效管理</w:t>
      </w:r>
    </w:p>
    <w:p w14:paraId="410EB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绩效管理的性质与作用；公共部门绩效评估系统的设计与实施；公共部门绩效管理的问题及改进。</w:t>
      </w:r>
    </w:p>
    <w:p w14:paraId="38032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7.公共预算与财政管理</w:t>
      </w:r>
    </w:p>
    <w:p w14:paraId="634C7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公共预算的性质、功能与原则；政府预算制度及其评估；政府会计、政府采购与政府审计；财政体制理论与实践。</w:t>
      </w:r>
    </w:p>
    <w:p w14:paraId="18C17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8.公共危机管理</w:t>
      </w:r>
    </w:p>
    <w:p w14:paraId="7B27B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突发事件应对、危机管理与风险治理；公共危机管理与全面整合的危机管理体系；公共危机管理的过程和阶段；中国的公共危机管理体系与改革。</w:t>
      </w:r>
    </w:p>
    <w:p w14:paraId="07617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9.公共责任与伦理</w:t>
      </w:r>
    </w:p>
    <w:p w14:paraId="4749E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公共责任概述；责任政府的基本制度；公共伦理。</w:t>
      </w:r>
    </w:p>
    <w:p w14:paraId="48A81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10.数字政府</w:t>
      </w:r>
    </w:p>
    <w:p w14:paraId="1C0FB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 xml:space="preserve">数据与数据治理；从电子政务到数字治理；数字政府建设面临的挑战。 </w:t>
      </w:r>
    </w:p>
    <w:p w14:paraId="5112C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11.公共管理改革</w:t>
      </w:r>
    </w:p>
    <w:p w14:paraId="47CCC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公共管理改革的理论与实践背景；西方国家的公共管理改革；中国的公共管理改革。</w:t>
      </w:r>
    </w:p>
    <w:p w14:paraId="3BD19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（二）公共经济学 </w:t>
      </w:r>
      <w:r>
        <w:rPr>
          <w:rFonts w:ascii="Times New Roman" w:hAnsi="Times New Roman" w:eastAsia="宋体" w:cs="Times New Roman"/>
          <w:sz w:val="24"/>
        </w:rPr>
        <w:t xml:space="preserve"> </w:t>
      </w:r>
    </w:p>
    <w:p w14:paraId="323A9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1.资源配置原则和政府职能；</w:t>
      </w:r>
    </w:p>
    <w:p w14:paraId="549AA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2.市场失灵与政府失灵的表现；</w:t>
      </w:r>
    </w:p>
    <w:p w14:paraId="4A907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3.公共产品理论；</w:t>
      </w:r>
    </w:p>
    <w:p w14:paraId="78B3F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4.外部性与纠正措施；</w:t>
      </w:r>
    </w:p>
    <w:p w14:paraId="5C4EA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5.公共选择理论的基本内容与启示；</w:t>
      </w:r>
    </w:p>
    <w:p w14:paraId="1173C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6.公共支出：支出的分类与特点，以及对经济的影响；公共增长模型；</w:t>
      </w:r>
    </w:p>
    <w:p w14:paraId="43BDF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7.税收基本理论；转嫁与税收效应；商品税、所得税等基本税制要素；</w:t>
      </w:r>
    </w:p>
    <w:p w14:paraId="39579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8.公共预算的含义及种类；公共预算的程序、原则；</w:t>
      </w:r>
    </w:p>
    <w:p w14:paraId="616A1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9.财政政策的种类、政府间财权、事权划分的原则；财政转移支付的合理性。</w:t>
      </w:r>
      <w:bookmarkStart w:id="0" w:name="_Toc524073013"/>
      <w:bookmarkStart w:id="1" w:name="_Toc5095"/>
    </w:p>
    <w:p w14:paraId="090FDB23"/>
    <w:p w14:paraId="698251A4"/>
    <w:bookmarkEnd w:id="0"/>
    <w:bookmarkEnd w:id="1"/>
    <w:p w14:paraId="5808B87E">
      <w:pPr>
        <w:rPr>
          <w:color w:val="FF000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FFAAE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2D00AB90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4MzhkY2FiZWRkNTUxMjE0MmIxZmQzM2YwNzg5NzMifQ=="/>
  </w:docVars>
  <w:rsids>
    <w:rsidRoot w:val="00172A27"/>
    <w:rsid w:val="00005D7A"/>
    <w:rsid w:val="000375F7"/>
    <w:rsid w:val="0005306C"/>
    <w:rsid w:val="000A498C"/>
    <w:rsid w:val="000C4D25"/>
    <w:rsid w:val="000F4AF6"/>
    <w:rsid w:val="00157052"/>
    <w:rsid w:val="001C78DC"/>
    <w:rsid w:val="001E7AA7"/>
    <w:rsid w:val="00272388"/>
    <w:rsid w:val="002D0F77"/>
    <w:rsid w:val="003D1DCB"/>
    <w:rsid w:val="003D5A8B"/>
    <w:rsid w:val="00530EBC"/>
    <w:rsid w:val="00562BD9"/>
    <w:rsid w:val="005804CA"/>
    <w:rsid w:val="00594340"/>
    <w:rsid w:val="005B6F81"/>
    <w:rsid w:val="005C17AE"/>
    <w:rsid w:val="005D608F"/>
    <w:rsid w:val="005E2269"/>
    <w:rsid w:val="006A5D15"/>
    <w:rsid w:val="00745E7C"/>
    <w:rsid w:val="00750985"/>
    <w:rsid w:val="00783D01"/>
    <w:rsid w:val="0079269D"/>
    <w:rsid w:val="007B3DD9"/>
    <w:rsid w:val="00824800"/>
    <w:rsid w:val="008A7A0F"/>
    <w:rsid w:val="008B2913"/>
    <w:rsid w:val="008B6703"/>
    <w:rsid w:val="008F57B7"/>
    <w:rsid w:val="00A11081"/>
    <w:rsid w:val="00A470FA"/>
    <w:rsid w:val="00A862C9"/>
    <w:rsid w:val="00AF1716"/>
    <w:rsid w:val="00B20A22"/>
    <w:rsid w:val="00C70A5A"/>
    <w:rsid w:val="00C91907"/>
    <w:rsid w:val="00D22DED"/>
    <w:rsid w:val="00DB1268"/>
    <w:rsid w:val="00DD04DC"/>
    <w:rsid w:val="00DE4114"/>
    <w:rsid w:val="00E70BC3"/>
    <w:rsid w:val="00ED6809"/>
    <w:rsid w:val="00F700E6"/>
    <w:rsid w:val="00F70488"/>
    <w:rsid w:val="00F71B4A"/>
    <w:rsid w:val="00F834CF"/>
    <w:rsid w:val="00FB55E9"/>
    <w:rsid w:val="03CF5AAB"/>
    <w:rsid w:val="051E6B92"/>
    <w:rsid w:val="087A157A"/>
    <w:rsid w:val="0C617C65"/>
    <w:rsid w:val="0C94660E"/>
    <w:rsid w:val="0F134243"/>
    <w:rsid w:val="129B61D8"/>
    <w:rsid w:val="136D48AC"/>
    <w:rsid w:val="13A92C6D"/>
    <w:rsid w:val="16A27D67"/>
    <w:rsid w:val="174848EB"/>
    <w:rsid w:val="18541252"/>
    <w:rsid w:val="18D41FD1"/>
    <w:rsid w:val="20C50389"/>
    <w:rsid w:val="20F47472"/>
    <w:rsid w:val="216B4290"/>
    <w:rsid w:val="21E42A58"/>
    <w:rsid w:val="22527807"/>
    <w:rsid w:val="249D12EE"/>
    <w:rsid w:val="255D3B3D"/>
    <w:rsid w:val="29110578"/>
    <w:rsid w:val="2F2F703D"/>
    <w:rsid w:val="2F7C7FBE"/>
    <w:rsid w:val="36046551"/>
    <w:rsid w:val="37292D36"/>
    <w:rsid w:val="37F0607D"/>
    <w:rsid w:val="3DF94D62"/>
    <w:rsid w:val="3FE5198C"/>
    <w:rsid w:val="421C0542"/>
    <w:rsid w:val="431E66FC"/>
    <w:rsid w:val="44071514"/>
    <w:rsid w:val="4B1328B7"/>
    <w:rsid w:val="4D111CF5"/>
    <w:rsid w:val="4E027BF4"/>
    <w:rsid w:val="526E7BB9"/>
    <w:rsid w:val="533A26AB"/>
    <w:rsid w:val="536979CA"/>
    <w:rsid w:val="53CF5AC9"/>
    <w:rsid w:val="541F6E6D"/>
    <w:rsid w:val="55944A0F"/>
    <w:rsid w:val="56AF40CB"/>
    <w:rsid w:val="5D7E48BF"/>
    <w:rsid w:val="5F593708"/>
    <w:rsid w:val="5FF37801"/>
    <w:rsid w:val="61C743D6"/>
    <w:rsid w:val="637850BA"/>
    <w:rsid w:val="63E74197"/>
    <w:rsid w:val="64EB2AB5"/>
    <w:rsid w:val="6CB33D06"/>
    <w:rsid w:val="6CB95A5F"/>
    <w:rsid w:val="6D41420B"/>
    <w:rsid w:val="6D9C5B0E"/>
    <w:rsid w:val="6E604605"/>
    <w:rsid w:val="6EEC0EE0"/>
    <w:rsid w:val="74500B07"/>
    <w:rsid w:val="781C50E7"/>
    <w:rsid w:val="7DAF266D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line="480" w:lineRule="exact"/>
      <w:jc w:val="left"/>
      <w:outlineLvl w:val="0"/>
    </w:pPr>
    <w:rPr>
      <w:rFonts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1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5"/>
    <w:unhideWhenUsed/>
    <w:uiPriority w:val="99"/>
    <w:pPr>
      <w:jc w:val="left"/>
    </w:pPr>
  </w:style>
  <w:style w:type="paragraph" w:styleId="5">
    <w:name w:val="Balloon Text"/>
    <w:basedOn w:val="1"/>
    <w:link w:val="16"/>
    <w:unhideWhenUsed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annotation subject"/>
    <w:basedOn w:val="4"/>
    <w:next w:val="4"/>
    <w:link w:val="19"/>
    <w:unhideWhenUsed/>
    <w:uiPriority w:val="99"/>
    <w:rPr>
      <w:b/>
      <w:bCs/>
    </w:rPr>
  </w:style>
  <w:style w:type="character" w:styleId="12">
    <w:name w:val="annotation reference"/>
    <w:unhideWhenUsed/>
    <w:uiPriority w:val="99"/>
    <w:rPr>
      <w:sz w:val="21"/>
      <w:szCs w:val="21"/>
    </w:rPr>
  </w:style>
  <w:style w:type="character" w:customStyle="1" w:styleId="13">
    <w:name w:val="标题 1 字符"/>
    <w:link w:val="2"/>
    <w:uiPriority w:val="9"/>
    <w:rPr>
      <w:rFonts w:eastAsia="黑体"/>
      <w:b/>
      <w:bCs/>
      <w:kern w:val="44"/>
      <w:sz w:val="32"/>
      <w:szCs w:val="44"/>
    </w:rPr>
  </w:style>
  <w:style w:type="character" w:customStyle="1" w:styleId="14">
    <w:name w:val="标题 2 字符"/>
    <w:link w:val="3"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5">
    <w:name w:val="批注文字 字符"/>
    <w:link w:val="4"/>
    <w:uiPriority w:val="99"/>
    <w:rPr>
      <w:kern w:val="2"/>
      <w:sz w:val="21"/>
      <w:szCs w:val="22"/>
    </w:rPr>
  </w:style>
  <w:style w:type="character" w:customStyle="1" w:styleId="16">
    <w:name w:val="批注框文本 字符"/>
    <w:link w:val="5"/>
    <w:semiHidden/>
    <w:uiPriority w:val="99"/>
    <w:rPr>
      <w:kern w:val="2"/>
      <w:sz w:val="18"/>
      <w:szCs w:val="18"/>
    </w:rPr>
  </w:style>
  <w:style w:type="character" w:customStyle="1" w:styleId="17">
    <w:name w:val="页脚 字符"/>
    <w:link w:val="6"/>
    <w:uiPriority w:val="99"/>
    <w:rPr>
      <w:sz w:val="18"/>
      <w:szCs w:val="18"/>
    </w:rPr>
  </w:style>
  <w:style w:type="character" w:customStyle="1" w:styleId="18">
    <w:name w:val="页眉 字符"/>
    <w:link w:val="7"/>
    <w:semiHidden/>
    <w:uiPriority w:val="99"/>
    <w:rPr>
      <w:sz w:val="18"/>
      <w:szCs w:val="18"/>
    </w:rPr>
  </w:style>
  <w:style w:type="character" w:customStyle="1" w:styleId="19">
    <w:name w:val="批注主题 字符"/>
    <w:link w:val="9"/>
    <w:semiHidden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1190</Words>
  <Characters>1218</Characters>
  <Lines>72</Lines>
  <Paragraphs>20</Paragraphs>
  <TotalTime>0</TotalTime>
  <ScaleCrop>false</ScaleCrop>
  <LinksUpToDate>false</LinksUpToDate>
  <CharactersWithSpaces>1226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李坤伦</cp:lastModifiedBy>
  <dcterms:modified xsi:type="dcterms:W3CDTF">2026-07-01T06:20:54Z</dcterms:modified>
  <dc:title>附件7：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7C52FE05043940668E18C7B9A89C61AE_13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