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6FE0C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11713504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853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 xml:space="preserve"> 法学综合考试</w:t>
      </w:r>
      <w:bookmarkEnd w:id="0"/>
    </w:p>
    <w:p w14:paraId="15322705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1" w:name="_GoBack"/>
      <w:bookmarkEnd w:id="1"/>
    </w:p>
    <w:p w14:paraId="550CBEF8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3E521FC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《法学综合考试》是中国海洋大学法学各学科专业（学术型）硕士研究生招生考试的法学综合考试课程。</w:t>
      </w:r>
    </w:p>
    <w:p w14:paraId="562013D9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284BFC7B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本考试大纲</w:t>
      </w:r>
      <w:r>
        <w:rPr>
          <w:rFonts w:hint="eastAsia" w:ascii="宋体" w:hAnsi="宋体"/>
          <w:color w:val="000000"/>
          <w:sz w:val="24"/>
          <w:szCs w:val="24"/>
        </w:rPr>
        <w:t>涵盖民法学、刑法总论和刑事诉讼法学、民事诉讼法学等多个课程，力求科学测评考生关于对民法学、刑法总论、刑事诉讼法学、民事诉讼法学等四门课程的知识储备及分析、思考和解决问题的能力，以便能够准确选择在法律实务和学术潜力方面表现出色的考生。</w:t>
      </w:r>
    </w:p>
    <w:p w14:paraId="4DAABCB3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命题旨在以下三个层次上测试考生对民法学、刑法总论、刑事诉讼法学、民事诉讼法学等相关课程的掌握程度和运用能力：</w:t>
      </w:r>
    </w:p>
    <w:p w14:paraId="4AA249D9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1、知识储备：测评考生对民法学、刑法总论、刑事诉讼法学、民事诉讼法学等课程的重要知识的掌握程度。</w:t>
      </w:r>
    </w:p>
    <w:p w14:paraId="6310159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2、综合运用：运用所学的基础理论和制度规定来综合</w:t>
      </w:r>
      <w:r>
        <w:rPr>
          <w:rFonts w:hint="eastAsia" w:ascii="宋体" w:hAnsi="宋体"/>
          <w:sz w:val="24"/>
          <w:szCs w:val="24"/>
        </w:rPr>
        <w:t>分析具体案例。</w:t>
      </w:r>
    </w:p>
    <w:p w14:paraId="4B1ACF0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3、学术潜力： 测评考生利用上述学科的基本知识分析、思考实际问题的能力，检验其思考深度及原创力。</w:t>
      </w:r>
    </w:p>
    <w:p w14:paraId="14BF5D8A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641A31F0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本考试为闭卷考试，满分为150分，考试时间为180分钟。</w:t>
      </w:r>
    </w:p>
    <w:p w14:paraId="5CFF54E0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33D3C786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（一）</w:t>
      </w:r>
      <w:r>
        <w:rPr>
          <w:rFonts w:hint="eastAsia" w:ascii="宋体" w:hAnsi="宋体"/>
          <w:sz w:val="24"/>
          <w:szCs w:val="24"/>
        </w:rPr>
        <w:t>民法学</w:t>
      </w:r>
    </w:p>
    <w:p w14:paraId="57174F4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hint="eastAsia" w:ascii="宋体" w:hAnsi="宋体"/>
          <w:color w:val="000000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民法总则</w:t>
      </w:r>
    </w:p>
    <w:p w14:paraId="78F99C9B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（1）民法概述：概念、本位与性质、与其他法律部门的关系、我国民法的渊源、我国《民法典》的体例结构、编纂逻辑、时代特色与中国特色。</w:t>
      </w:r>
    </w:p>
    <w:p w14:paraId="00C867D3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（2）民法的基本原则：民法基本原则的功能、类型与适用。</w:t>
      </w:r>
    </w:p>
    <w:p w14:paraId="7BC72418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（3）民事法律关系：民事法律关系的构成与类型；民事法律关系的变动。</w:t>
      </w:r>
    </w:p>
    <w:p w14:paraId="5C6EE0B6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（4）民事主体制度：大陆法系传统民事主体类型划分；民事主体制度的变迁与发展趋势；我国《民法典》的民事主体制度内容与特色。</w:t>
      </w:r>
    </w:p>
    <w:p w14:paraId="02975B79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（5）民事行为制度：事实行为、准法律行为、法律行为（构造、种类、效力）。</w:t>
      </w:r>
    </w:p>
    <w:p w14:paraId="2DB48F90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（6）代理制度：代理的构造、代理权、代理行为、无权代理。</w:t>
      </w:r>
    </w:p>
    <w:p w14:paraId="3B36B1EB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（7）监护制度：监护的概念、监护的种类、各种监护权的取得与消灭。</w:t>
      </w:r>
    </w:p>
    <w:p w14:paraId="2C9D6F87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</w:t>
      </w:r>
      <w:r>
        <w:rPr>
          <w:rFonts w:ascii="宋体" w:hAnsi="宋体"/>
          <w:color w:val="000000"/>
          <w:sz w:val="24"/>
          <w:szCs w:val="24"/>
        </w:rPr>
        <w:t>8</w:t>
      </w:r>
      <w:r>
        <w:rPr>
          <w:rFonts w:hint="eastAsia" w:ascii="宋体" w:hAnsi="宋体"/>
          <w:color w:val="000000"/>
          <w:sz w:val="24"/>
          <w:szCs w:val="24"/>
        </w:rPr>
        <w:t>）时效与期限。</w:t>
      </w:r>
    </w:p>
    <w:p w14:paraId="0E4D68C9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2、物权法：物权法概述、物权的效力与变动、所有权、用益物权、担保物权、占有。</w:t>
      </w:r>
    </w:p>
    <w:p w14:paraId="6E07A778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3、合同法：合同法与合同概述、合同的成立与生效、合同的担保、合同的履行、合同的变更与转让、合同权利义务的终止、违约责任、准合同制度。</w:t>
      </w:r>
    </w:p>
    <w:p w14:paraId="6501C6A2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4、人格权法：人格权概念与特征、人格权主体、人格权的种类、人格权独立成编及其意义。</w:t>
      </w:r>
    </w:p>
    <w:p w14:paraId="4620A266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5、婚姻家庭与继承法：结婚与离婚、婚姻的效力类型、亲子关系与亲属关系、夫妻财产制度、收养的成立与解除、遗产与继承权、法定继承与遗嘱继承、遗赠与遗赠扶养协议、遗产管理人制度与遗产分割。</w:t>
      </w:r>
    </w:p>
    <w:p w14:paraId="3ECA9301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6、侵权责任法：侵权法与侵权行为、侵权法保护对象、侵权行为的归责原则、一般侵权的构成要件、共同侵权行为、侵权责任及其抗辩事由、特殊侵权责任、侵权损害赔偿。</w:t>
      </w:r>
    </w:p>
    <w:p w14:paraId="4B3C8762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（二）刑法学</w:t>
      </w:r>
    </w:p>
    <w:p w14:paraId="726FBAB9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1、刑法概观</w:t>
      </w:r>
    </w:p>
    <w:p w14:paraId="33A4783E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刑法的哲学基础；罪与罚的其他理念基础；刑法的基本立场；</w:t>
      </w:r>
      <w:r>
        <w:rPr>
          <w:rFonts w:hint="eastAsia" w:ascii="宋体" w:hAnsi="宋体"/>
          <w:sz w:val="24"/>
          <w:szCs w:val="24"/>
        </w:rPr>
        <w:t>主观主义刑法与客观主义刑法，行为无价值与结果无价值，规范违反说与法益侵害说；刑法规定的三大基本原则；</w:t>
      </w:r>
      <w:r>
        <w:rPr>
          <w:rFonts w:hint="eastAsia" w:ascii="宋体" w:hAnsi="宋体" w:cs="华文楷体"/>
          <w:sz w:val="24"/>
          <w:szCs w:val="24"/>
        </w:rPr>
        <w:t>主客观相统一原则及其例外。</w:t>
      </w:r>
    </w:p>
    <w:p w14:paraId="1325D95C">
      <w:pPr>
        <w:spacing w:line="360" w:lineRule="auto"/>
        <w:ind w:firstLine="513" w:firstLineChars="214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2、犯罪构成理论及构成要素</w:t>
      </w:r>
    </w:p>
    <w:p w14:paraId="62DAF38E">
      <w:pPr>
        <w:spacing w:line="360" w:lineRule="auto"/>
        <w:ind w:firstLine="480" w:firstLineChars="200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犯罪构成四要件理论；德日刑法犯罪构成三阶层与二阶层理论；犯罪构成理论流派的对比；犯罪概念；犯罪构成；犯罪构成理论的构成要素；构成要件该当性、违法性、有责性；实行行为，犯罪结果；因果关系；犯罪主体；违法阻却事由；责任能力；责任阻却事由；故意与过失；违法性认识；期待可能性</w:t>
      </w:r>
      <w:r>
        <w:rPr>
          <w:rFonts w:hint="eastAsia" w:ascii="宋体" w:hAnsi="宋体" w:cs="华文楷体"/>
          <w:sz w:val="24"/>
          <w:szCs w:val="24"/>
        </w:rPr>
        <w:t>。</w:t>
      </w:r>
    </w:p>
    <w:p w14:paraId="604430FD">
      <w:pPr>
        <w:spacing w:line="360" w:lineRule="auto"/>
        <w:ind w:firstLine="480" w:firstLineChars="200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3、犯罪形态</w:t>
      </w:r>
    </w:p>
    <w:p w14:paraId="5420643D">
      <w:pPr>
        <w:spacing w:line="360" w:lineRule="auto"/>
        <w:ind w:firstLine="480" w:firstLineChars="200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犯罪形态概念；故意犯罪的停止形态；共同犯罪；罪数形态；认识错误</w:t>
      </w:r>
      <w:r>
        <w:rPr>
          <w:rFonts w:hint="eastAsia" w:ascii="宋体" w:hAnsi="宋体" w:cs="华文楷体"/>
          <w:sz w:val="24"/>
          <w:szCs w:val="24"/>
        </w:rPr>
        <w:t>。</w:t>
      </w:r>
    </w:p>
    <w:p w14:paraId="74BC0C79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4、刑罚总论</w:t>
      </w:r>
    </w:p>
    <w:p w14:paraId="7A64FE9F">
      <w:pPr>
        <w:spacing w:line="360" w:lineRule="auto"/>
        <w:ind w:firstLine="480" w:firstLineChars="200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刑罚概念；刑罚体系；量刑规则；刑罚裁量制度</w:t>
      </w:r>
      <w:r>
        <w:rPr>
          <w:rFonts w:hint="eastAsia" w:ascii="宋体" w:hAnsi="宋体" w:cs="华文楷体"/>
          <w:sz w:val="24"/>
          <w:szCs w:val="24"/>
        </w:rPr>
        <w:t>。</w:t>
      </w:r>
    </w:p>
    <w:p w14:paraId="555C753E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5、刑罚执行制度</w:t>
      </w:r>
    </w:p>
    <w:p w14:paraId="613189F4">
      <w:pPr>
        <w:spacing w:line="360" w:lineRule="auto"/>
        <w:ind w:firstLine="480" w:firstLineChars="200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刑罚执行概念；缓刑；减刑；假释</w:t>
      </w:r>
      <w:r>
        <w:rPr>
          <w:rFonts w:hint="eastAsia" w:ascii="宋体" w:hAnsi="宋体" w:cs="华文楷体"/>
          <w:sz w:val="24"/>
          <w:szCs w:val="24"/>
        </w:rPr>
        <w:t>。</w:t>
      </w:r>
    </w:p>
    <w:p w14:paraId="0F77CD52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6、罪刑规范</w:t>
      </w:r>
    </w:p>
    <w:p w14:paraId="3516046B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罪名；罪状；法定刑；法条竞合</w:t>
      </w:r>
      <w:r>
        <w:rPr>
          <w:rFonts w:hint="eastAsia" w:ascii="宋体" w:hAnsi="宋体" w:cs="华文楷体"/>
          <w:sz w:val="24"/>
          <w:szCs w:val="24"/>
        </w:rPr>
        <w:t>。</w:t>
      </w:r>
    </w:p>
    <w:p w14:paraId="1A1D3BBC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7、破坏社会主义市场经济秩序罪</w:t>
      </w:r>
    </w:p>
    <w:p w14:paraId="62067FF4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生产、销售伪劣商品类罪；走私犯罪；妨害对公司、企业的管理秩序犯罪；破坏金融管理秩序类犯罪；金融诈骗犯罪；抗税罪；侵犯知识产权犯罪；扰乱市场秩序犯罪；</w:t>
      </w:r>
    </w:p>
    <w:p w14:paraId="567615F0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8、侵犯公民人身权利、民主权利犯罪</w:t>
      </w:r>
    </w:p>
    <w:p w14:paraId="4FD8FAF8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9、侵犯财产犯罪；</w:t>
      </w:r>
    </w:p>
    <w:p w14:paraId="50D430E1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10、妨害社会管理秩序犯罪；</w:t>
      </w:r>
    </w:p>
    <w:p w14:paraId="3398E103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11、贪污贿赂犯罪；</w:t>
      </w:r>
    </w:p>
    <w:p w14:paraId="49289D42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12、渎职犯罪；</w:t>
      </w:r>
    </w:p>
    <w:p w14:paraId="4261C8B2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1</w:t>
      </w:r>
      <w:r>
        <w:rPr>
          <w:rFonts w:ascii="宋体" w:hAnsi="宋体" w:cs="华文楷体"/>
          <w:sz w:val="24"/>
          <w:szCs w:val="24"/>
        </w:rPr>
        <w:t>3</w:t>
      </w:r>
      <w:r>
        <w:rPr>
          <w:rFonts w:hint="eastAsia" w:ascii="宋体" w:hAnsi="宋体" w:cs="华文楷体"/>
          <w:sz w:val="24"/>
          <w:szCs w:val="24"/>
        </w:rPr>
        <w:t>、监察法中的刑法问题</w:t>
      </w:r>
    </w:p>
    <w:p w14:paraId="0C1CA50E">
      <w:pPr>
        <w:spacing w:line="360" w:lineRule="auto"/>
        <w:ind w:firstLine="513" w:firstLineChars="214"/>
        <w:rPr>
          <w:rFonts w:ascii="宋体" w:hAnsi="宋体" w:cs="华文楷体"/>
          <w:sz w:val="24"/>
          <w:szCs w:val="24"/>
        </w:rPr>
      </w:pPr>
    </w:p>
    <w:p w14:paraId="1805273F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（三）刑事诉讼法学</w:t>
      </w:r>
    </w:p>
    <w:p w14:paraId="012F20EF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1、导论</w:t>
      </w:r>
    </w:p>
    <w:p w14:paraId="23806EA4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（1）刑事诉讼的特点、刑事诉讼法的表现形式与基本内容、刑事诉讼法学的研究对象。</w:t>
      </w:r>
    </w:p>
    <w:p w14:paraId="3E283B87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（2）外国早期社会刑事诉讼制度的基本特点、我国刑事诉讼制度的历史形成、现代西方国家刑事诉讼制度的基本模式。</w:t>
      </w:r>
    </w:p>
    <w:p w14:paraId="0A9691E5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2、基本范畴</w:t>
      </w:r>
    </w:p>
    <w:p w14:paraId="037FB1E6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（1）刑事诉讼目的基本学说、刑事诉讼价值的一般理论。</w:t>
      </w:r>
    </w:p>
    <w:p w14:paraId="27AE47BC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（2）刑事诉讼结构的理论学说、我国刑事诉讼的基本结构。</w:t>
      </w:r>
    </w:p>
    <w:p w14:paraId="5A1462B5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（3）刑事诉讼主体理论、刑事诉讼职能理论的基本内容。</w:t>
      </w:r>
    </w:p>
    <w:p w14:paraId="28F7B670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3、基本原则</w:t>
      </w:r>
    </w:p>
    <w:p w14:paraId="68E59F87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（1）刑事诉讼基本原则的涵义、国际通行的刑事诉讼基本原则。</w:t>
      </w:r>
    </w:p>
    <w:p w14:paraId="4A94D04F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（2）我国刑事诉讼基本原则体系、我国刑事诉讼基本原则的立法动向。</w:t>
      </w:r>
    </w:p>
    <w:p w14:paraId="7D9B9CE4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4、基本制度</w:t>
      </w:r>
    </w:p>
    <w:p w14:paraId="6D0DE530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（1）刑事诉讼管辖制度和回避制度的基本内容。</w:t>
      </w:r>
    </w:p>
    <w:p w14:paraId="6343A116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（2）辩护制度的基本内容与发展趋势、刑事代理制度的内涵。</w:t>
      </w:r>
    </w:p>
    <w:p w14:paraId="03884E15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（3）刑事强制措施的概念、特点与适用原则、我国刑事强制措施体系及其发展完善。</w:t>
      </w:r>
    </w:p>
    <w:p w14:paraId="20C3C113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（4）刑事附带民事诉讼的内涵、刑事附带民事诉讼当事人的范围、刑事附带民事诉讼的基本程序。</w:t>
      </w:r>
    </w:p>
    <w:p w14:paraId="758AA84B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（5）刑事诉讼法有关期间、送达、中止、终止的基本规定。</w:t>
      </w:r>
    </w:p>
    <w:p w14:paraId="427B8686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5、证据制度</w:t>
      </w:r>
    </w:p>
    <w:p w14:paraId="06963425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（1）刑事证据的概念、刑事证据制度的历史类型。</w:t>
      </w:r>
    </w:p>
    <w:p w14:paraId="3A649067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（2）刑事证据的种类与分类。</w:t>
      </w:r>
    </w:p>
    <w:p w14:paraId="4C09F271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（3）刑事诉讼证明的概念以及刑事诉讼证明对象、证明标准、证明责任的基本内容。</w:t>
      </w:r>
    </w:p>
    <w:p w14:paraId="3F721DB6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（4）刑事诉讼证据规则的基本内容和立法动向。</w:t>
      </w:r>
    </w:p>
    <w:p w14:paraId="4E87F57F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6、审前程序</w:t>
      </w:r>
    </w:p>
    <w:p w14:paraId="0044E08E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（1）立案的概念、条件和程序。</w:t>
      </w:r>
    </w:p>
    <w:p w14:paraId="4E24D221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（2）侦查主体的范围、侦查行为的种类与程序规制、侦查监督的基本内容、我国侦查制度的立法完善。</w:t>
      </w:r>
    </w:p>
    <w:p w14:paraId="34C5190C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（3）刑事起诉的概念、刑事起诉的原则、审查起诉的内容、提起公诉的条件和程序、不起诉的种类与规制、提起自诉的条件、我国公诉制度的立法完善。</w:t>
      </w:r>
    </w:p>
    <w:p w14:paraId="687C942C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7、审判程序</w:t>
      </w:r>
    </w:p>
    <w:p w14:paraId="6778987C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（1）刑事审判的内涵、刑事审判组织、刑事审判原则和刑事审级制度的基本内容。</w:t>
      </w:r>
    </w:p>
    <w:p w14:paraId="202E2D2E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（2）公诉案件一审程序的具体环节、自诉案件一审程序的特点、简易程序、速裁程序的适用条件和法庭审判特点。</w:t>
      </w:r>
    </w:p>
    <w:p w14:paraId="4E866C00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（3）刑事判决、裁定和决定的内涵与表现形式。</w:t>
      </w:r>
    </w:p>
    <w:p w14:paraId="32465B98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（4）二审程序的内涵与功能、提起二审程序的规范性要求、第二审案件的审判原则、审理方式及其完善。</w:t>
      </w:r>
    </w:p>
    <w:p w14:paraId="0315BCB4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（5）死刑复核程序的内涵、基本流程、死刑复核程序的立法完善。</w:t>
      </w:r>
    </w:p>
    <w:p w14:paraId="45BE4EB4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（6）审判监督程序的内涵、提起主体、提起理由、依审判监督程序重新审判的规范性要求、审判监督程序的改革完善。</w:t>
      </w:r>
    </w:p>
    <w:p w14:paraId="3DE2DB2F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8、执行程序</w:t>
      </w:r>
    </w:p>
    <w:p w14:paraId="0A2C9047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（1）执行的概念、特点和依据、各种判决、裁定的执行程序。</w:t>
      </w:r>
    </w:p>
    <w:p w14:paraId="3D2B153E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（2）执行变更和执行监督的基本内容。</w:t>
      </w:r>
    </w:p>
    <w:p w14:paraId="50E48464"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9、特别程序</w:t>
      </w:r>
    </w:p>
    <w:p w14:paraId="10626154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（1）未成年人刑事案件诉讼程序的基本原则与制度、未成年人刑事案件的具体诉讼程序。</w:t>
      </w:r>
    </w:p>
    <w:p w14:paraId="57EAFD75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（2）公诉案件适用和解程序的基本条件。</w:t>
      </w:r>
    </w:p>
    <w:p w14:paraId="5CF9CE09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（3）刑事缺席审判程序的适用条件。</w:t>
      </w:r>
    </w:p>
    <w:p w14:paraId="03DCC9BC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（4）犯罪嫌疑人、被告人逃匿、死亡案件违法所得的没收程序的适用条件。</w:t>
      </w:r>
    </w:p>
    <w:p w14:paraId="6057AEE1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（5）依法不负刑事责任的精神病人的强制医疗程序的适用和救济。</w:t>
      </w:r>
    </w:p>
    <w:p w14:paraId="7A34EB0D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</w:p>
    <w:p w14:paraId="0C8DAAF0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（四）民事诉讼法学</w:t>
      </w:r>
    </w:p>
    <w:p w14:paraId="27732683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1、导论</w:t>
      </w:r>
    </w:p>
    <w:p w14:paraId="3F2EB81F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（1）民事诉讼法与民法的关系</w:t>
      </w:r>
    </w:p>
    <w:p w14:paraId="7B6E5EB0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（2）民事诉讼与其他纠纷解决机制的关系</w:t>
      </w:r>
    </w:p>
    <w:p w14:paraId="738A819D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2、基本理论</w:t>
      </w:r>
    </w:p>
    <w:p w14:paraId="2BF8F25E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（1）民事诉讼价值论</w:t>
      </w:r>
    </w:p>
    <w:p w14:paraId="36E77B5A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（2）民事诉讼目的论</w:t>
      </w:r>
    </w:p>
    <w:p w14:paraId="3E2B6C3C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（3）民事诉权论</w:t>
      </w:r>
    </w:p>
    <w:p w14:paraId="5D40E2A3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（4）民事诉讼标的论</w:t>
      </w:r>
    </w:p>
    <w:p w14:paraId="3D1F3E4B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（5）既判力论</w:t>
      </w:r>
    </w:p>
    <w:p w14:paraId="252D2774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3、基本原则</w:t>
      </w:r>
    </w:p>
    <w:p w14:paraId="4CB14F6E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（1）处分原则</w:t>
      </w:r>
    </w:p>
    <w:p w14:paraId="1029E789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（2）约束性辩论原则</w:t>
      </w:r>
    </w:p>
    <w:p w14:paraId="01BB818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（3）诚实信用原则</w:t>
      </w:r>
    </w:p>
    <w:p w14:paraId="17F226AA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（4）检察监督原则</w:t>
      </w:r>
    </w:p>
    <w:p w14:paraId="115E4249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4、基本制度</w:t>
      </w:r>
    </w:p>
    <w:p w14:paraId="1D29EDE4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（1）合议制度</w:t>
      </w:r>
    </w:p>
    <w:p w14:paraId="03875BB5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（2）两审终审制度</w:t>
      </w:r>
    </w:p>
    <w:p w14:paraId="3ED5DF89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（3）陪审制度</w:t>
      </w:r>
    </w:p>
    <w:p w14:paraId="42AB1A50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5、当事人制度</w:t>
      </w:r>
    </w:p>
    <w:p w14:paraId="3C870742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（1）当事人确定与当事人适格</w:t>
      </w:r>
    </w:p>
    <w:p w14:paraId="5E7D2B91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（2）共同诉讼制度</w:t>
      </w:r>
    </w:p>
    <w:p w14:paraId="7B5C91A9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（3）诉讼第三人制度</w:t>
      </w:r>
    </w:p>
    <w:p w14:paraId="4036B5B2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（4）公益诉讼制度</w:t>
      </w:r>
    </w:p>
    <w:p w14:paraId="6D582BF7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6、民事证据与证明</w:t>
      </w:r>
    </w:p>
    <w:p w14:paraId="75704885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（1）证据的法定分类与理论分类</w:t>
      </w:r>
    </w:p>
    <w:p w14:paraId="140C31B2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（2）主张责任、证明责任及其分配、证明标准</w:t>
      </w:r>
    </w:p>
    <w:p w14:paraId="71CD81FD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7、上诉制度、再审制度与第三人撤销之诉</w:t>
      </w:r>
    </w:p>
    <w:p w14:paraId="042AF7AE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（1）上诉审的理论模式</w:t>
      </w:r>
    </w:p>
    <w:p w14:paraId="1EBE4072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（2）再审事由、发起方式与处理模式</w:t>
      </w:r>
    </w:p>
    <w:p w14:paraId="780BA996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（3）第三人撤销之诉</w:t>
      </w:r>
    </w:p>
    <w:p w14:paraId="57ADE057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8、强制执行制度</w:t>
      </w:r>
    </w:p>
    <w:p w14:paraId="3078AABC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（1）审执分离理论</w:t>
      </w:r>
    </w:p>
    <w:p w14:paraId="004A5C43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（2）执行形式化原则</w:t>
      </w:r>
    </w:p>
    <w:p w14:paraId="0898BD55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（3）执行救济</w:t>
      </w:r>
    </w:p>
    <w:p w14:paraId="4AC785E1">
      <w:pPr>
        <w:spacing w:line="360" w:lineRule="auto"/>
        <w:jc w:val="center"/>
        <w:rPr>
          <w:rFonts w:ascii="华文仿宋" w:hAnsi="华文仿宋" w:eastAsia="华文仿宋" w:cs="华文仿宋"/>
          <w:b/>
          <w:bCs/>
          <w:sz w:val="36"/>
          <w:szCs w:val="36"/>
        </w:rPr>
      </w:pPr>
    </w:p>
    <w:p w14:paraId="0E8EF03B">
      <w:pPr>
        <w:spacing w:line="360" w:lineRule="auto"/>
        <w:jc w:val="center"/>
        <w:rPr>
          <w:rFonts w:ascii="华文仿宋" w:hAnsi="华文仿宋" w:eastAsia="华文仿宋" w:cs="华文仿宋"/>
          <w:b/>
          <w:bCs/>
          <w:sz w:val="36"/>
          <w:szCs w:val="36"/>
        </w:rPr>
      </w:pPr>
    </w:p>
    <w:p w14:paraId="4E32292A">
      <w:pPr>
        <w:spacing w:line="360" w:lineRule="auto"/>
        <w:jc w:val="center"/>
        <w:rPr>
          <w:rFonts w:ascii="华文仿宋" w:hAnsi="华文仿宋" w:eastAsia="华文仿宋" w:cs="华文仿宋"/>
          <w:b/>
          <w:bCs/>
          <w:sz w:val="36"/>
          <w:szCs w:val="36"/>
        </w:rPr>
      </w:pPr>
    </w:p>
    <w:p w14:paraId="46F3E692">
      <w:pPr>
        <w:spacing w:line="360" w:lineRule="auto"/>
        <w:jc w:val="both"/>
        <w:rPr>
          <w:rFonts w:ascii="华文仿宋" w:hAnsi="华文仿宋" w:eastAsia="华文仿宋" w:cs="华文仿宋"/>
          <w:b/>
          <w:bCs/>
          <w:sz w:val="36"/>
          <w:szCs w:val="36"/>
        </w:rPr>
      </w:pPr>
    </w:p>
    <w:p w14:paraId="05B1BD5B">
      <w:pPr>
        <w:spacing w:line="360" w:lineRule="auto"/>
        <w:jc w:val="center"/>
        <w:rPr>
          <w:rFonts w:ascii="华文仿宋" w:hAnsi="华文仿宋" w:eastAsia="华文仿宋" w:cs="华文仿宋"/>
          <w:b/>
          <w:bCs/>
          <w:sz w:val="36"/>
          <w:szCs w:val="36"/>
        </w:rPr>
      </w:pPr>
    </w:p>
    <w:p w14:paraId="2CAD71B1">
      <w:pPr>
        <w:rPr>
          <w:color w:val="FF0000"/>
        </w:rPr>
      </w:pPr>
    </w:p>
    <w:p w14:paraId="5250F17E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33FCE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21</w:t>
    </w:r>
    <w:r>
      <w:fldChar w:fldCharType="end"/>
    </w:r>
  </w:p>
  <w:p w14:paraId="23F3F03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3C4234"/>
    <w:rsid w:val="179E21CE"/>
    <w:rsid w:val="1E410987"/>
    <w:rsid w:val="213C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left"/>
      <w:outlineLvl w:val="0"/>
    </w:pPr>
    <w:rPr>
      <w:rFonts w:ascii="Calibri" w:hAnsi="Calibri" w:eastAsia="黑体"/>
      <w:b/>
      <w:kern w:val="44"/>
      <w:sz w:val="32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2988</Words>
  <Characters>2998</Characters>
  <Lines>0</Lines>
  <Paragraphs>0</Paragraphs>
  <TotalTime>0</TotalTime>
  <ScaleCrop>false</ScaleCrop>
  <LinksUpToDate>false</LinksUpToDate>
  <CharactersWithSpaces>3040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2026-06-28T12:33:00Z</dcterms:created>
  <dc:creator>李坤伦</dc:creator>
  <cp:lastModifiedBy>李坤伦</cp:lastModifiedBy>
  <dcterms:modified xsi:type="dcterms:W3CDTF">2026-07-01T01:45:44Z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BA0A5B6A2644482CAE0A98CD1E2BE0A2_13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