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73A3E6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0" w:name="_Toc81477863"/>
      <w:bookmarkStart w:id="1" w:name="_Toc144672982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856高等代数</w:t>
      </w:r>
      <w:bookmarkEnd w:id="0"/>
      <w:bookmarkEnd w:id="1"/>
    </w:p>
    <w:p w14:paraId="27180909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</w:p>
    <w:p w14:paraId="372881AB">
      <w:pPr>
        <w:spacing w:line="360" w:lineRule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一、考试性质</w:t>
      </w:r>
    </w:p>
    <w:p w14:paraId="0B34C763">
      <w:pPr>
        <w:spacing w:line="360" w:lineRule="auto"/>
        <w:ind w:firstLine="513" w:firstLineChars="214"/>
        <w:rPr>
          <w:rFonts w:hint="eastAsia" w:ascii="华文楷体" w:hAnsi="华文楷体" w:eastAsia="华文楷体" w:cs="华文楷体"/>
          <w:color w:val="FF0000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高等代数是数学硕士研究生入学初试考试的专业基础课程。</w:t>
      </w:r>
    </w:p>
    <w:p w14:paraId="29597D13">
      <w:pPr>
        <w:spacing w:line="360" w:lineRule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二、考查目标</w:t>
      </w:r>
    </w:p>
    <w:p w14:paraId="13EEEBFE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力求反映数学相关硕士学位的特点，科学、准确、规范地测评考生对高等代数所具有的基本素质和综合能力，具体考查考生对高等代数基础理论的掌握情况，以及运用高等代数的理论与方法分析问题、解决问题的能力。</w:t>
      </w:r>
    </w:p>
    <w:p w14:paraId="60CEBA95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在三个层次上测试考生对高等代数理论的掌握程度和运用能力。三个层次的基本要求分别为：</w:t>
      </w:r>
    </w:p>
    <w:p w14:paraId="498A1C9F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1、基本概念和基本理论的理解、掌握；</w:t>
      </w:r>
    </w:p>
    <w:p w14:paraId="1C620E0F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2、运用基本理论解决基础性问题的分析、计算和推理能力；</w:t>
      </w:r>
    </w:p>
    <w:p w14:paraId="0F9E97D5">
      <w:pPr>
        <w:spacing w:line="360" w:lineRule="auto"/>
        <w:ind w:firstLine="480" w:firstLineChars="200"/>
        <w:rPr>
          <w:rFonts w:hint="eastAsia" w:ascii="宋体" w:hAnsi="宋体"/>
          <w:color w:val="FF0000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3、综合运用高等代数知识分析问题、解决问题的能力。</w:t>
      </w:r>
    </w:p>
    <w:p w14:paraId="7EE76754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b/>
          <w:bCs/>
          <w:sz w:val="28"/>
          <w:szCs w:val="28"/>
        </w:rPr>
        <w:t>三、考试形式</w:t>
      </w:r>
    </w:p>
    <w:p w14:paraId="166EF65F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本考试为闭卷考试，满分为150分，考试时间为180分钟。</w:t>
      </w:r>
    </w:p>
    <w:p w14:paraId="3AD3E654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试卷结构：</w:t>
      </w:r>
    </w:p>
    <w:p w14:paraId="0D78648D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（1）试卷分值构成：</w:t>
      </w:r>
    </w:p>
    <w:p w14:paraId="38ED2C3D">
      <w:pPr>
        <w:spacing w:line="360" w:lineRule="auto"/>
        <w:ind w:firstLine="960" w:firstLineChars="4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多项式理论部分约占分值20分；</w:t>
      </w:r>
    </w:p>
    <w:p w14:paraId="1B7C16F4">
      <w:pPr>
        <w:spacing w:line="360" w:lineRule="auto"/>
        <w:ind w:firstLine="960" w:firstLineChars="4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矩阵理论部分约占分值60分；</w:t>
      </w:r>
    </w:p>
    <w:p w14:paraId="67CC984A">
      <w:pPr>
        <w:spacing w:line="360" w:lineRule="auto"/>
        <w:ind w:firstLine="960" w:firstLineChars="4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线性空间理论部分约占分值70分。  </w:t>
      </w:r>
    </w:p>
    <w:p w14:paraId="0F4DB556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（2）题型包括：填空题，简答题，计算题，证明题等。</w:t>
      </w:r>
    </w:p>
    <w:p w14:paraId="4B16C6F4">
      <w:pPr>
        <w:spacing w:line="360" w:lineRule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四、考试内容</w:t>
      </w:r>
    </w:p>
    <w:p w14:paraId="2D8DC641">
      <w:pPr>
        <w:spacing w:line="360" w:lineRule="auto"/>
        <w:rPr>
          <w:rFonts w:hint="eastAsia"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（一）多项式理论</w:t>
      </w:r>
    </w:p>
    <w:p w14:paraId="213C794D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1、一元多项式的一般理论</w:t>
      </w:r>
    </w:p>
    <w:p w14:paraId="1B023308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概念、运算、导数及基本性质；</w:t>
      </w:r>
    </w:p>
    <w:p w14:paraId="1E13E077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2、整除理论</w:t>
      </w:r>
    </w:p>
    <w:p w14:paraId="2AD3C2D6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整除的概念、最大公因式、互素的概念与性质；</w:t>
      </w:r>
    </w:p>
    <w:p w14:paraId="2250AFDF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3、因式分解理论</w:t>
      </w:r>
    </w:p>
    <w:p w14:paraId="3AFA8800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不可约多项式、因式分解、重因式、实系数与复系数多项式的因式分解、有理系数多项式不可约的判定等；</w:t>
      </w:r>
    </w:p>
    <w:p w14:paraId="5BB0E052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4、根的理论</w:t>
      </w:r>
    </w:p>
    <w:p w14:paraId="0E4B2D2A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多项式函数、多项式的根、有理系数多项式的有理根的求法、根与系数的关系等；</w:t>
      </w:r>
    </w:p>
    <w:p w14:paraId="5AAFF27B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5、多元多项式的一般理论</w:t>
      </w:r>
    </w:p>
    <w:p w14:paraId="31807A8B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多元多项式概念、对称多项式。</w:t>
      </w:r>
    </w:p>
    <w:p w14:paraId="28510ED2">
      <w:pPr>
        <w:spacing w:line="360" w:lineRule="auto"/>
        <w:rPr>
          <w:rFonts w:hint="eastAsia"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（二）矩阵理论</w:t>
      </w:r>
    </w:p>
    <w:p w14:paraId="09D0E51F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1、行列式理论与计算</w:t>
      </w:r>
    </w:p>
    <w:p w14:paraId="7BCA5DAE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行列式的概念、性质以及计算；Cramer法则，拉普拉斯定理。</w:t>
      </w:r>
    </w:p>
    <w:p w14:paraId="13E472D2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2、线性方程组</w:t>
      </w:r>
    </w:p>
    <w:p w14:paraId="39ADA157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向量、向量组的线性相关与无关；线性方程组的解的结构。</w:t>
      </w:r>
    </w:p>
    <w:p w14:paraId="19888F23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3、矩阵</w:t>
      </w:r>
    </w:p>
    <w:p w14:paraId="7E1C08F7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矩阵的各种运算及运算规律，矩阵的秩，矩阵的逆，分块矩阵的相应运算及性质。</w:t>
      </w:r>
    </w:p>
    <w:p w14:paraId="4E246E5E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4．二次型</w:t>
      </w:r>
    </w:p>
    <w:p w14:paraId="3CA8F5F4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二次型基本概念，配方法、合同变换法化二次型为标准形，惯性定理，正定、半正定、半负定二次型与矩阵的判定。</w:t>
      </w:r>
    </w:p>
    <w:p w14:paraId="68565847">
      <w:pPr>
        <w:spacing w:line="360" w:lineRule="auto"/>
        <w:rPr>
          <w:rFonts w:hint="eastAsia" w:ascii="宋体" w:hAnsi="宋体" w:cs="华文楷体"/>
          <w:sz w:val="24"/>
          <w:szCs w:val="24"/>
        </w:rPr>
      </w:pPr>
      <w:r>
        <w:rPr>
          <w:rFonts w:hint="eastAsia" w:ascii="宋体" w:hAnsi="宋体" w:cs="华文楷体"/>
          <w:sz w:val="24"/>
          <w:szCs w:val="24"/>
        </w:rPr>
        <w:t>（三）线性空间理论</w:t>
      </w:r>
    </w:p>
    <w:p w14:paraId="0E4DF550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1、线性空间 </w:t>
      </w:r>
    </w:p>
    <w:p w14:paraId="11121222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线性空间的定义与性质；线性相关性及有关结论；秩与极大线性无关组；线性空间的基与维数；基变换与坐标变换公式；线性子空间；子空间的交、和与直和；线性空间的同构。</w:t>
      </w:r>
    </w:p>
    <w:p w14:paraId="578750B2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2、线性变换</w:t>
      </w:r>
    </w:p>
    <w:p w14:paraId="0158FE9B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线性变换的定义及其基本性质；线性变换的运算；线性变换的矩阵；相似矩阵；矩阵的特征值与特征向量；线性变换的特征值与特征向量；哈密顿-凯莱定理；相似对角化；线性变换的值域与核；不变子空间；不变子空间与线性变换的矩阵的化简；若尔当标准形；最小多项式。</w:t>
      </w:r>
    </w:p>
    <w:p w14:paraId="3976A50F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3、</w:t>
      </w:r>
      <w:r>
        <w:rPr>
          <w:rFonts w:hint="eastAsia" w:ascii="宋体" w:hAnsi="宋体"/>
          <w:sz w:val="24"/>
          <w:szCs w:val="24"/>
        </w:rPr>
        <w:sym w:font="Symbol" w:char="F06C"/>
      </w:r>
      <w:r>
        <w:rPr>
          <w:rFonts w:hint="eastAsia" w:ascii="宋体" w:hAnsi="宋体"/>
          <w:sz w:val="24"/>
          <w:szCs w:val="24"/>
        </w:rPr>
        <w:t xml:space="preserve"> 矩阵</w:t>
      </w:r>
    </w:p>
    <w:p w14:paraId="2F23EE95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sym w:font="Symbol" w:char="F06C"/>
      </w:r>
      <w:r>
        <w:rPr>
          <w:rFonts w:hint="eastAsia" w:ascii="宋体" w:hAnsi="宋体"/>
          <w:sz w:val="24"/>
          <w:szCs w:val="24"/>
        </w:rPr>
        <w:t>矩阵的概念；</w:t>
      </w:r>
      <w:r>
        <w:rPr>
          <w:rFonts w:hint="eastAsia" w:ascii="宋体" w:hAnsi="宋体"/>
          <w:sz w:val="24"/>
          <w:szCs w:val="24"/>
        </w:rPr>
        <w:sym w:font="Symbol" w:char="F06C"/>
      </w:r>
      <w:r>
        <w:rPr>
          <w:rFonts w:hint="eastAsia" w:ascii="宋体" w:hAnsi="宋体"/>
          <w:sz w:val="24"/>
          <w:szCs w:val="24"/>
        </w:rPr>
        <w:t>矩阵的等价；</w:t>
      </w:r>
      <w:r>
        <w:rPr>
          <w:rFonts w:hint="eastAsia" w:ascii="宋体" w:hAnsi="宋体"/>
          <w:sz w:val="24"/>
          <w:szCs w:val="24"/>
        </w:rPr>
        <w:sym w:font="Symbol" w:char="F06C"/>
      </w:r>
      <w:r>
        <w:rPr>
          <w:rFonts w:hint="eastAsia" w:ascii="宋体" w:hAnsi="宋体"/>
          <w:sz w:val="24"/>
          <w:szCs w:val="24"/>
        </w:rPr>
        <w:t>矩阵在初等变换下的标准形、不变因子与行列式因式；</w:t>
      </w:r>
      <w:r>
        <w:rPr>
          <w:rFonts w:hint="eastAsia" w:ascii="宋体" w:hAnsi="宋体"/>
          <w:sz w:val="24"/>
          <w:szCs w:val="24"/>
        </w:rPr>
        <w:sym w:font="Symbol" w:char="F06C"/>
      </w:r>
      <w:r>
        <w:rPr>
          <w:rFonts w:hint="eastAsia" w:ascii="宋体" w:hAnsi="宋体"/>
          <w:sz w:val="24"/>
          <w:szCs w:val="24"/>
        </w:rPr>
        <w:t>矩阵的初等因子；求</w:t>
      </w:r>
      <w:r>
        <w:rPr>
          <w:rFonts w:hint="eastAsia" w:ascii="宋体" w:hAnsi="宋体"/>
          <w:sz w:val="24"/>
          <w:szCs w:val="24"/>
        </w:rPr>
        <w:sym w:font="Symbol" w:char="F06C"/>
      </w:r>
      <w:r>
        <w:rPr>
          <w:rFonts w:hint="eastAsia" w:ascii="宋体" w:hAnsi="宋体"/>
          <w:sz w:val="24"/>
          <w:szCs w:val="24"/>
        </w:rPr>
        <w:t>矩阵的标准形的方法；矩阵相似的充分必要条件；矩阵若尔当标准形与有理标准形。</w:t>
      </w:r>
    </w:p>
    <w:p w14:paraId="273FD4D2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4、欧几里得空间</w:t>
      </w:r>
    </w:p>
    <w:p w14:paraId="6294A21B">
      <w:pPr>
        <w:spacing w:line="360" w:lineRule="auto"/>
        <w:ind w:firstLine="480" w:firstLineChars="200"/>
        <w:rPr>
          <w:rFonts w:hint="eastAsia" w:ascii="宋体" w:hAnsi="宋体" w:cs="华文楷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内积和欧几里得空间；长度、夹角与正交；度量矩阵；标准正交基；正交矩阵；欧氏空间的同构；正交变换；正交子空间与正交补；实对称矩阵的标准形；对称变换；向量到子空间的距离；最小二乘法</w:t>
      </w:r>
      <w:r>
        <w:rPr>
          <w:rFonts w:hint="eastAsia" w:ascii="宋体" w:hAnsi="宋体" w:cs="华文楷体"/>
          <w:sz w:val="24"/>
          <w:szCs w:val="24"/>
        </w:rPr>
        <w:t>。</w:t>
      </w:r>
    </w:p>
    <w:p w14:paraId="30F24910">
      <w:pPr>
        <w:spacing w:line="360" w:lineRule="auto"/>
        <w:ind w:firstLine="480" w:firstLineChars="200"/>
        <w:rPr>
          <w:sz w:val="24"/>
          <w:szCs w:val="24"/>
        </w:rPr>
      </w:pP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0NmFlNTAyNTMyYWJjNWU1NTVmOWU2ZWRhZjVkMDEifQ=="/>
  </w:docVars>
  <w:rsids>
    <w:rsidRoot w:val="004F7EE9"/>
    <w:rsid w:val="002D7369"/>
    <w:rsid w:val="00424959"/>
    <w:rsid w:val="004F7EE9"/>
    <w:rsid w:val="00672D0F"/>
    <w:rsid w:val="00C47DBE"/>
    <w:rsid w:val="24760B4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unhideWhenUsed/>
    <w:uiPriority w:val="1"/>
  </w:style>
  <w:style w:type="table" w:default="1" w:styleId="9">
    <w:name w:val="Normal Table"/>
    <w:unhideWhenUsed/>
    <w:uiPriority w:val="99"/>
    <w:tblPr>
      <w:tblStyle w:val="9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unhideWhenUsed/>
    <w:uiPriority w:val="99"/>
    <w:pPr>
      <w:jc w:val="left"/>
    </w:pPr>
  </w:style>
  <w:style w:type="paragraph" w:styleId="3">
    <w:name w:val="Balloon Text"/>
    <w:basedOn w:val="1"/>
    <w:link w:val="14"/>
    <w:unhideWhenUsed/>
    <w:uiPriority w:val="99"/>
    <w:rPr>
      <w:sz w:val="18"/>
      <w:szCs w:val="18"/>
    </w:rPr>
  </w:style>
  <w:style w:type="paragraph" w:styleId="4">
    <w:name w:val="footer"/>
    <w:basedOn w:val="1"/>
    <w:link w:val="15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unhideWhenUsed/>
    <w:uiPriority w:val="39"/>
    <w:rPr>
      <w:rFonts w:ascii="Calibri" w:hAnsi="Calibri"/>
    </w:rPr>
  </w:style>
  <w:style w:type="paragraph" w:styleId="7">
    <w:name w:val="Title"/>
    <w:basedOn w:val="1"/>
    <w:next w:val="1"/>
    <w:link w:val="19"/>
    <w:qFormat/>
    <w:uiPriority w:val="10"/>
    <w:pPr>
      <w:spacing w:before="240" w:after="60"/>
      <w:jc w:val="center"/>
      <w:outlineLvl w:val="0"/>
    </w:pPr>
    <w:rPr>
      <w:rFonts w:ascii="等线 Light" w:hAnsi="等线 Light"/>
      <w:b/>
      <w:bCs/>
      <w:sz w:val="32"/>
      <w:szCs w:val="32"/>
    </w:rPr>
  </w:style>
  <w:style w:type="paragraph" w:styleId="8">
    <w:name w:val="annotation subject"/>
    <w:basedOn w:val="2"/>
    <w:next w:val="2"/>
    <w:link w:val="17"/>
    <w:unhideWhenUsed/>
    <w:uiPriority w:val="99"/>
    <w:rPr>
      <w:b/>
      <w:bCs/>
    </w:rPr>
  </w:style>
  <w:style w:type="character" w:styleId="11">
    <w:name w:val="Hyperlink"/>
    <w:unhideWhenUsed/>
    <w:uiPriority w:val="99"/>
    <w:rPr>
      <w:color w:val="0563C1"/>
      <w:u w:val="single"/>
    </w:rPr>
  </w:style>
  <w:style w:type="character" w:styleId="12">
    <w:name w:val="annotation reference"/>
    <w:unhideWhenUsed/>
    <w:uiPriority w:val="99"/>
    <w:rPr>
      <w:sz w:val="21"/>
      <w:szCs w:val="21"/>
    </w:rPr>
  </w:style>
  <w:style w:type="character" w:customStyle="1" w:styleId="13">
    <w:name w:val="批注文字 字符"/>
    <w:link w:val="2"/>
    <w:uiPriority w:val="99"/>
    <w:rPr>
      <w:kern w:val="2"/>
      <w:sz w:val="21"/>
      <w:szCs w:val="22"/>
    </w:rPr>
  </w:style>
  <w:style w:type="character" w:customStyle="1" w:styleId="14">
    <w:name w:val="批注框文本 字符"/>
    <w:link w:val="3"/>
    <w:semiHidden/>
    <w:uiPriority w:val="99"/>
    <w:rPr>
      <w:kern w:val="2"/>
      <w:sz w:val="18"/>
      <w:szCs w:val="18"/>
    </w:rPr>
  </w:style>
  <w:style w:type="character" w:customStyle="1" w:styleId="15">
    <w:name w:val="页脚 字符"/>
    <w:link w:val="4"/>
    <w:semiHidden/>
    <w:uiPriority w:val="99"/>
    <w:rPr>
      <w:sz w:val="18"/>
      <w:szCs w:val="18"/>
    </w:rPr>
  </w:style>
  <w:style w:type="character" w:customStyle="1" w:styleId="16">
    <w:name w:val="页眉 字符"/>
    <w:link w:val="5"/>
    <w:semiHidden/>
    <w:uiPriority w:val="99"/>
    <w:rPr>
      <w:sz w:val="18"/>
      <w:szCs w:val="18"/>
    </w:rPr>
  </w:style>
  <w:style w:type="character" w:customStyle="1" w:styleId="17">
    <w:name w:val="批注主题 字符"/>
    <w:link w:val="8"/>
    <w:semiHidden/>
    <w:uiPriority w:val="99"/>
    <w:rPr>
      <w:b/>
      <w:bCs/>
      <w:kern w:val="2"/>
      <w:sz w:val="21"/>
      <w:szCs w:val="22"/>
    </w:rPr>
  </w:style>
  <w:style w:type="paragraph" w:customStyle="1" w:styleId="18">
    <w:name w:val="reader-word-layer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9">
    <w:name w:val="标题 字符"/>
    <w:link w:val="7"/>
    <w:uiPriority w:val="10"/>
    <w:rPr>
      <w:rFonts w:ascii="等线 Light" w:hAnsi="等线 Light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1151</Words>
  <Characters>1165</Characters>
  <Lines>8</Lines>
  <Paragraphs>2</Paragraphs>
  <TotalTime>0</TotalTime>
  <ScaleCrop>false</ScaleCrop>
  <LinksUpToDate>false</LinksUpToDate>
  <CharactersWithSpaces>1170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2026-06-19T03:21:00Z</dcterms:created>
  <dc:creator>微软用户</dc:creator>
  <cp:lastModifiedBy>李坤伦</cp:lastModifiedBy>
  <dcterms:modified xsi:type="dcterms:W3CDTF">2026-07-01T01:46:56Z</dcterms:modified>
  <dc:title>附件7：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9677B6EEE85847C38A8697FAF9F54A2D_13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