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28F440">
      <w:pPr>
        <w:widowControl/>
        <w:kinsoku w:val="0"/>
        <w:autoSpaceDE w:val="0"/>
        <w:autoSpaceDN w:val="0"/>
        <w:adjustRightInd w:val="0"/>
        <w:snapToGrid w:val="0"/>
        <w:spacing w:line="324" w:lineRule="auto"/>
        <w:ind w:left="22"/>
        <w:jc w:val="center"/>
        <w:textAlignment w:val="baseline"/>
        <w:outlineLvl w:val="1"/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val="en-US" w:eastAsia="zh-CN"/>
        </w:rPr>
      </w:pPr>
      <w:bookmarkStart w:id="0" w:name="_Toc178782454"/>
      <w:r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  <w:t>840 经济</w:t>
      </w:r>
      <w:bookmarkEnd w:id="0"/>
      <w:r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  <w:t>学</w:t>
      </w:r>
      <w:r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val="en-US" w:eastAsia="zh-CN"/>
        </w:rPr>
        <w:t>原理</w:t>
      </w:r>
    </w:p>
    <w:p w14:paraId="03B1CA33">
      <w:pPr>
        <w:widowControl/>
        <w:kinsoku w:val="0"/>
        <w:autoSpaceDE w:val="0"/>
        <w:autoSpaceDN w:val="0"/>
        <w:adjustRightInd w:val="0"/>
        <w:snapToGrid w:val="0"/>
        <w:spacing w:line="324" w:lineRule="auto"/>
        <w:ind w:left="22"/>
        <w:jc w:val="center"/>
        <w:textAlignment w:val="baseline"/>
        <w:outlineLvl w:val="1"/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val="en-US" w:eastAsia="zh-CN"/>
        </w:rPr>
      </w:pPr>
      <w:bookmarkStart w:id="1" w:name="_GoBack"/>
      <w:bookmarkEnd w:id="1"/>
    </w:p>
    <w:p w14:paraId="794CDD39">
      <w:pPr>
        <w:spacing w:line="360" w:lineRule="auto"/>
        <w:rPr>
          <w:rFonts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一、考试性质</w:t>
      </w:r>
    </w:p>
    <w:p w14:paraId="690EB355">
      <w:pPr>
        <w:spacing w:line="360" w:lineRule="auto"/>
        <w:ind w:firstLine="480" w:firstLineChars="200"/>
        <w:rPr>
          <w:rFonts w:ascii="宋体" w:hAnsi="宋体"/>
          <w:bCs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经济学原理是农业硕士专业学位农业管理领域</w:t>
      </w:r>
      <w:r>
        <w:rPr>
          <w:rFonts w:hint="eastAsia" w:ascii="宋体" w:hAnsi="宋体"/>
          <w:bCs/>
          <w:sz w:val="24"/>
          <w:szCs w:val="24"/>
        </w:rPr>
        <w:t>入学考试的专业基础课程。</w:t>
      </w:r>
    </w:p>
    <w:p w14:paraId="7D59FF5E">
      <w:pPr>
        <w:spacing w:line="360" w:lineRule="auto"/>
        <w:rPr>
          <w:rFonts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二、考查目标</w:t>
      </w:r>
    </w:p>
    <w:p w14:paraId="72EF8731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本考试大纲的制定力求反映</w:t>
      </w:r>
      <w:r>
        <w:rPr>
          <w:rFonts w:hint="eastAsia" w:ascii="宋体" w:hAnsi="宋体"/>
          <w:sz w:val="24"/>
          <w:szCs w:val="24"/>
        </w:rPr>
        <w:t>农业管理专业学位的特点，内容涵盖微观经济学和宏观经济学基本内容，要求考生全面系统地掌握经济学基本知识、理论和主要研究方法，运用所学知识分析、判断和解决有关实际问题。</w:t>
      </w:r>
    </w:p>
    <w:p w14:paraId="53A422A2">
      <w:pPr>
        <w:spacing w:line="360" w:lineRule="auto"/>
        <w:rPr>
          <w:rFonts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三、考试形式</w:t>
      </w:r>
    </w:p>
    <w:p w14:paraId="0A5F4D2E">
      <w:pPr>
        <w:pStyle w:val="11"/>
        <w:spacing w:before="0" w:beforeAutospacing="0" w:after="0" w:afterAutospacing="0" w:line="360" w:lineRule="auto"/>
        <w:ind w:firstLine="480" w:firstLineChars="200"/>
        <w:jc w:val="both"/>
      </w:pPr>
      <w:r>
        <w:rPr>
          <w:rFonts w:hint="eastAsia"/>
        </w:rPr>
        <w:t>本考试为闭卷考试，满分为150分，考试时间为180分钟。</w:t>
      </w:r>
    </w:p>
    <w:p w14:paraId="59D9F697">
      <w:pPr>
        <w:spacing w:line="360" w:lineRule="auto"/>
        <w:rPr>
          <w:rFonts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四、考试内容</w:t>
      </w:r>
    </w:p>
    <w:p w14:paraId="7BA5FA28"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（一）</w:t>
      </w:r>
      <w:r>
        <w:rPr>
          <w:rFonts w:ascii="宋体" w:hAnsi="宋体"/>
          <w:sz w:val="24"/>
          <w:szCs w:val="24"/>
        </w:rPr>
        <w:t>需求、供给和均衡价格</w:t>
      </w:r>
    </w:p>
    <w:p w14:paraId="7E9F0C21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需求和供给、市场均衡、弹性。</w:t>
      </w:r>
    </w:p>
    <w:p w14:paraId="723BD3C7"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（二）</w:t>
      </w:r>
      <w:r>
        <w:rPr>
          <w:rFonts w:ascii="宋体" w:hAnsi="宋体"/>
          <w:sz w:val="24"/>
          <w:szCs w:val="24"/>
        </w:rPr>
        <w:t>消费者选择理论</w:t>
      </w:r>
    </w:p>
    <w:p w14:paraId="42BD961F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效用论与无差异曲线、效用最大化及消费者选择、替代效应与收入效应、市场需求曲线。</w:t>
      </w:r>
    </w:p>
    <w:p w14:paraId="77498845"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（三）</w:t>
      </w:r>
      <w:r>
        <w:rPr>
          <w:rFonts w:ascii="宋体" w:hAnsi="宋体"/>
          <w:sz w:val="24"/>
          <w:szCs w:val="24"/>
        </w:rPr>
        <w:t>生产者理论</w:t>
      </w:r>
    </w:p>
    <w:p w14:paraId="78795312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厂商和生产的基本概念、短期生产函数、长期生产函数、规模报酬。</w:t>
      </w:r>
    </w:p>
    <w:p w14:paraId="224788E2"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（四）</w:t>
      </w:r>
      <w:r>
        <w:rPr>
          <w:rFonts w:ascii="宋体" w:hAnsi="宋体"/>
          <w:sz w:val="24"/>
          <w:szCs w:val="24"/>
        </w:rPr>
        <w:t>成本理论</w:t>
      </w:r>
    </w:p>
    <w:p w14:paraId="7F652800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成本的基本概念及成本最小化目标、短期成本曲线、长期成本曲线。</w:t>
      </w:r>
    </w:p>
    <w:p w14:paraId="7671C9C4"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（五）</w:t>
      </w:r>
      <w:r>
        <w:rPr>
          <w:rFonts w:ascii="宋体" w:hAnsi="宋体"/>
          <w:sz w:val="24"/>
          <w:szCs w:val="24"/>
        </w:rPr>
        <w:t>完全竞争市场</w:t>
      </w:r>
    </w:p>
    <w:p w14:paraId="4939C103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市场、厂商类型及利润最大化目标、短期均衡、长期均衡、完全竞争市场的福利分析。</w:t>
      </w:r>
    </w:p>
    <w:p w14:paraId="2DC39252"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 xml:space="preserve">（六）不完全竞争市场 </w:t>
      </w:r>
    </w:p>
    <w:p w14:paraId="3EB7CEE5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垄断、垄断竞争、寡头、不同市场的经济效率的比较。</w:t>
      </w:r>
    </w:p>
    <w:p w14:paraId="0B11A032"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（七）生产</w:t>
      </w:r>
      <w:r>
        <w:rPr>
          <w:rFonts w:ascii="宋体" w:hAnsi="宋体"/>
          <w:sz w:val="24"/>
          <w:szCs w:val="24"/>
        </w:rPr>
        <w:t>要素</w:t>
      </w:r>
      <w:r>
        <w:rPr>
          <w:rFonts w:hint="eastAsia" w:ascii="宋体" w:hAnsi="宋体"/>
          <w:sz w:val="24"/>
          <w:szCs w:val="24"/>
        </w:rPr>
        <w:t>价格决定</w:t>
      </w:r>
    </w:p>
    <w:p w14:paraId="29372B21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生产要素的需求</w:t>
      </w:r>
      <w:r>
        <w:rPr>
          <w:rFonts w:hint="eastAsia" w:ascii="宋体" w:hAnsi="宋体"/>
          <w:sz w:val="24"/>
          <w:szCs w:val="24"/>
        </w:rPr>
        <w:t>与供给</w:t>
      </w:r>
      <w:r>
        <w:rPr>
          <w:rFonts w:ascii="宋体" w:hAnsi="宋体"/>
          <w:sz w:val="24"/>
          <w:szCs w:val="24"/>
        </w:rPr>
        <w:t>理论</w:t>
      </w:r>
      <w:r>
        <w:rPr>
          <w:rFonts w:hint="eastAsia" w:ascii="宋体" w:hAnsi="宋体"/>
          <w:sz w:val="24"/>
          <w:szCs w:val="24"/>
        </w:rPr>
        <w:t>、</w:t>
      </w:r>
      <w:r>
        <w:rPr>
          <w:rFonts w:ascii="宋体" w:hAnsi="宋体"/>
          <w:sz w:val="24"/>
          <w:szCs w:val="24"/>
        </w:rPr>
        <w:t>劳动市场及工资的决定</w:t>
      </w:r>
      <w:r>
        <w:rPr>
          <w:rFonts w:hint="eastAsia" w:ascii="宋体" w:hAnsi="宋体"/>
          <w:sz w:val="24"/>
          <w:szCs w:val="24"/>
        </w:rPr>
        <w:t>、</w:t>
      </w:r>
      <w:r>
        <w:rPr>
          <w:rFonts w:ascii="宋体" w:hAnsi="宋体"/>
          <w:sz w:val="24"/>
          <w:szCs w:val="24"/>
        </w:rPr>
        <w:t>土地市场和地租的决定</w:t>
      </w:r>
      <w:r>
        <w:rPr>
          <w:rFonts w:hint="eastAsia" w:ascii="宋体" w:hAnsi="宋体"/>
          <w:sz w:val="24"/>
          <w:szCs w:val="24"/>
        </w:rPr>
        <w:t>、</w:t>
      </w:r>
      <w:r>
        <w:rPr>
          <w:rFonts w:ascii="宋体" w:hAnsi="宋体"/>
          <w:sz w:val="24"/>
          <w:szCs w:val="24"/>
        </w:rPr>
        <w:t>资本市场和利息率决定</w:t>
      </w:r>
      <w:r>
        <w:rPr>
          <w:rFonts w:hint="eastAsia" w:ascii="宋体" w:hAnsi="宋体"/>
          <w:sz w:val="24"/>
          <w:szCs w:val="24"/>
        </w:rPr>
        <w:t>、</w:t>
      </w:r>
      <w:r>
        <w:rPr>
          <w:rFonts w:ascii="宋体" w:hAnsi="宋体"/>
          <w:sz w:val="24"/>
          <w:szCs w:val="24"/>
        </w:rPr>
        <w:t>洛伦兹曲线和基尼系数。</w:t>
      </w:r>
    </w:p>
    <w:p w14:paraId="073E91B5"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（八）</w:t>
      </w:r>
      <w:r>
        <w:rPr>
          <w:rFonts w:ascii="宋体" w:hAnsi="宋体"/>
          <w:sz w:val="24"/>
          <w:szCs w:val="24"/>
        </w:rPr>
        <w:t>一般均衡理论与福利经济学</w:t>
      </w:r>
    </w:p>
    <w:p w14:paraId="75A17A41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一般均衡、帕累托最优、</w:t>
      </w:r>
      <w:r>
        <w:rPr>
          <w:rFonts w:ascii="宋体" w:hAnsi="宋体"/>
          <w:sz w:val="24"/>
          <w:szCs w:val="24"/>
        </w:rPr>
        <w:t>社会福利函数</w:t>
      </w:r>
      <w:r>
        <w:rPr>
          <w:rFonts w:hint="eastAsia" w:ascii="宋体" w:hAnsi="宋体"/>
          <w:sz w:val="24"/>
          <w:szCs w:val="24"/>
        </w:rPr>
        <w:t>、</w:t>
      </w:r>
      <w:r>
        <w:rPr>
          <w:rFonts w:ascii="宋体" w:hAnsi="宋体"/>
          <w:sz w:val="24"/>
          <w:szCs w:val="24"/>
        </w:rPr>
        <w:t>效率与公平</w:t>
      </w:r>
      <w:r>
        <w:rPr>
          <w:rFonts w:hint="eastAsia" w:ascii="宋体" w:hAnsi="宋体"/>
          <w:sz w:val="24"/>
          <w:szCs w:val="24"/>
        </w:rPr>
        <w:t>。</w:t>
      </w:r>
    </w:p>
    <w:p w14:paraId="7A9B9CED"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（九）</w:t>
      </w:r>
      <w:r>
        <w:rPr>
          <w:rFonts w:ascii="宋体" w:hAnsi="宋体"/>
          <w:sz w:val="24"/>
          <w:szCs w:val="24"/>
        </w:rPr>
        <w:t>市场失灵与微观经济政策</w:t>
      </w:r>
    </w:p>
    <w:p w14:paraId="55269E27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不完全竞争、外部性、公共物品、信息不对称。</w:t>
      </w:r>
    </w:p>
    <w:p w14:paraId="53F07044"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（十）宏观经济的基本指标及其衡量</w:t>
      </w:r>
    </w:p>
    <w:p w14:paraId="2B26DCC9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国内生产总值、国民收入、名义</w:t>
      </w:r>
      <w:r>
        <w:rPr>
          <w:rFonts w:ascii="宋体" w:hAnsi="宋体"/>
          <w:sz w:val="24"/>
          <w:szCs w:val="24"/>
        </w:rPr>
        <w:t>GDP与实际GDP</w:t>
      </w:r>
      <w:r>
        <w:rPr>
          <w:rFonts w:hint="eastAsia" w:ascii="宋体" w:hAnsi="宋体"/>
          <w:sz w:val="24"/>
          <w:szCs w:val="24"/>
        </w:rPr>
        <w:t>、失业和物价水平。</w:t>
      </w:r>
    </w:p>
    <w:p w14:paraId="2D4E977B"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（十一）</w:t>
      </w:r>
      <w:r>
        <w:rPr>
          <w:rFonts w:ascii="宋体" w:hAnsi="宋体"/>
          <w:sz w:val="24"/>
          <w:szCs w:val="24"/>
        </w:rPr>
        <w:t>国民收入的决定理论</w:t>
      </w:r>
    </w:p>
    <w:p w14:paraId="13B7B622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均衡产出、凯恩斯的消费理论及其他消费理论、两部门、三部门、四部门国民收入的决定、乘数论、</w:t>
      </w:r>
      <w:r>
        <w:rPr>
          <w:rFonts w:ascii="宋体" w:hAnsi="宋体"/>
          <w:sz w:val="24"/>
          <w:szCs w:val="24"/>
        </w:rPr>
        <w:t>IS-LM</w:t>
      </w:r>
      <w:r>
        <w:rPr>
          <w:rFonts w:hint="eastAsia" w:ascii="宋体" w:hAnsi="宋体"/>
          <w:sz w:val="24"/>
          <w:szCs w:val="24"/>
        </w:rPr>
        <w:t>模型、</w:t>
      </w:r>
      <w:r>
        <w:rPr>
          <w:rFonts w:ascii="宋体" w:hAnsi="宋体"/>
          <w:sz w:val="24"/>
          <w:szCs w:val="24"/>
        </w:rPr>
        <w:t>AD-AS模型</w:t>
      </w:r>
      <w:r>
        <w:rPr>
          <w:rFonts w:hint="eastAsia" w:ascii="宋体" w:hAnsi="宋体"/>
          <w:sz w:val="24"/>
          <w:szCs w:val="24"/>
        </w:rPr>
        <w:t>。</w:t>
      </w:r>
    </w:p>
    <w:p w14:paraId="5DEC782A"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（十二）</w:t>
      </w:r>
      <w:r>
        <w:rPr>
          <w:rFonts w:ascii="宋体" w:hAnsi="宋体"/>
          <w:sz w:val="24"/>
          <w:szCs w:val="24"/>
        </w:rPr>
        <w:t>失业</w:t>
      </w:r>
      <w:r>
        <w:rPr>
          <w:rFonts w:hint="eastAsia" w:ascii="宋体" w:hAnsi="宋体"/>
          <w:sz w:val="24"/>
          <w:szCs w:val="24"/>
        </w:rPr>
        <w:t>、</w:t>
      </w:r>
      <w:r>
        <w:rPr>
          <w:rFonts w:ascii="宋体" w:hAnsi="宋体"/>
          <w:sz w:val="24"/>
          <w:szCs w:val="24"/>
        </w:rPr>
        <w:t>通货膨胀</w:t>
      </w:r>
      <w:r>
        <w:rPr>
          <w:rFonts w:hint="eastAsia" w:ascii="宋体" w:hAnsi="宋体"/>
          <w:sz w:val="24"/>
          <w:szCs w:val="24"/>
        </w:rPr>
        <w:t>和经济周期</w:t>
      </w:r>
    </w:p>
    <w:p w14:paraId="673F3498">
      <w:pPr>
        <w:spacing w:line="360" w:lineRule="auto"/>
        <w:ind w:firstLine="360" w:firstLineChars="15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失业、通货膨胀、菲利普斯曲线、经济周期。</w:t>
      </w:r>
    </w:p>
    <w:p w14:paraId="156768E3"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（十三）</w:t>
      </w:r>
      <w:r>
        <w:rPr>
          <w:rFonts w:ascii="宋体" w:hAnsi="宋体"/>
          <w:sz w:val="24"/>
          <w:szCs w:val="24"/>
        </w:rPr>
        <w:t>宏观经济政策及实践</w:t>
      </w:r>
    </w:p>
    <w:p w14:paraId="6DE9D56F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财政政策及影响、货币政策及影响、两种政策的混合使用、经济政策目标及两种政策的实践。</w:t>
      </w:r>
    </w:p>
    <w:p w14:paraId="335F722E"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（十四） 经济增长理论</w:t>
      </w:r>
    </w:p>
    <w:p w14:paraId="486189DF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经济增长的含义、新古典增长模型、内生增长模型、经济增长理论的发展。</w:t>
      </w:r>
    </w:p>
    <w:p w14:paraId="5E580D4F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5ABA5C"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Q0NmFlNTAyNTMyYWJjNWU1NTVmOWU2ZWRhZjVkMDEifQ=="/>
  </w:docVars>
  <w:rsids>
    <w:rsidRoot w:val="00172A27"/>
    <w:rsid w:val="00010E3D"/>
    <w:rsid w:val="0005306C"/>
    <w:rsid w:val="001C26D5"/>
    <w:rsid w:val="002134F3"/>
    <w:rsid w:val="002520EC"/>
    <w:rsid w:val="00296E14"/>
    <w:rsid w:val="00391CED"/>
    <w:rsid w:val="003D5A8B"/>
    <w:rsid w:val="003F1791"/>
    <w:rsid w:val="004855F5"/>
    <w:rsid w:val="004A48A7"/>
    <w:rsid w:val="00530EBC"/>
    <w:rsid w:val="005674B1"/>
    <w:rsid w:val="005B35B8"/>
    <w:rsid w:val="005C36CB"/>
    <w:rsid w:val="005D608F"/>
    <w:rsid w:val="005E2269"/>
    <w:rsid w:val="0061118C"/>
    <w:rsid w:val="00615D26"/>
    <w:rsid w:val="00633FC8"/>
    <w:rsid w:val="006D6A10"/>
    <w:rsid w:val="00725BB4"/>
    <w:rsid w:val="0077067C"/>
    <w:rsid w:val="008F57B7"/>
    <w:rsid w:val="009732A0"/>
    <w:rsid w:val="00984A27"/>
    <w:rsid w:val="00AB3E88"/>
    <w:rsid w:val="00B54232"/>
    <w:rsid w:val="00C2578F"/>
    <w:rsid w:val="00C26366"/>
    <w:rsid w:val="00CE381A"/>
    <w:rsid w:val="00D55B1E"/>
    <w:rsid w:val="00D83189"/>
    <w:rsid w:val="00D96477"/>
    <w:rsid w:val="00EF116C"/>
    <w:rsid w:val="00F54AF5"/>
    <w:rsid w:val="00F70488"/>
    <w:rsid w:val="0C617C65"/>
    <w:rsid w:val="10896C26"/>
    <w:rsid w:val="129B61D8"/>
    <w:rsid w:val="136D48AC"/>
    <w:rsid w:val="16A27D67"/>
    <w:rsid w:val="174848EB"/>
    <w:rsid w:val="1763100A"/>
    <w:rsid w:val="18541252"/>
    <w:rsid w:val="1B850F5C"/>
    <w:rsid w:val="1D3D5068"/>
    <w:rsid w:val="20F47472"/>
    <w:rsid w:val="21E42A58"/>
    <w:rsid w:val="255D3B3D"/>
    <w:rsid w:val="2F2F703D"/>
    <w:rsid w:val="2F7C7FBE"/>
    <w:rsid w:val="2FA03B8C"/>
    <w:rsid w:val="30A66D7A"/>
    <w:rsid w:val="36046551"/>
    <w:rsid w:val="37F0607D"/>
    <w:rsid w:val="3DF94D62"/>
    <w:rsid w:val="4B1328B7"/>
    <w:rsid w:val="4E027BF4"/>
    <w:rsid w:val="533A26AB"/>
    <w:rsid w:val="53CF5AC9"/>
    <w:rsid w:val="55944A0F"/>
    <w:rsid w:val="56AF40CB"/>
    <w:rsid w:val="5F593708"/>
    <w:rsid w:val="61B421A7"/>
    <w:rsid w:val="61C743D6"/>
    <w:rsid w:val="637850BA"/>
    <w:rsid w:val="64EB2AB5"/>
    <w:rsid w:val="6CB95A5F"/>
    <w:rsid w:val="6D41420B"/>
    <w:rsid w:val="6E604605"/>
    <w:rsid w:val="74500B07"/>
    <w:rsid w:val="781C50E7"/>
    <w:rsid w:val="7AE55812"/>
    <w:rsid w:val="7ED303DF"/>
    <w:rsid w:val="7F107CA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semiHidden="0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4">
    <w:name w:val="Default Paragraph Font"/>
    <w:unhideWhenUsed/>
    <w:uiPriority w:val="1"/>
  </w:style>
  <w:style w:type="table" w:default="1" w:styleId="13">
    <w:name w:val="Normal Table"/>
    <w:unhideWhenUsed/>
    <w:uiPriority w:val="99"/>
    <w:tblPr>
      <w:tblStyle w:val="13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8"/>
    <w:unhideWhenUsed/>
    <w:uiPriority w:val="99"/>
    <w:pPr>
      <w:jc w:val="left"/>
    </w:pPr>
  </w:style>
  <w:style w:type="paragraph" w:styleId="4">
    <w:name w:val="Body Text Indent"/>
    <w:basedOn w:val="1"/>
    <w:link w:val="19"/>
    <w:uiPriority w:val="0"/>
    <w:pPr>
      <w:widowControl/>
      <w:spacing w:after="156" w:afterLines="50" w:line="320" w:lineRule="exact"/>
      <w:ind w:firstLine="480" w:firstLineChars="200"/>
      <w:jc w:val="left"/>
    </w:pPr>
    <w:rPr>
      <w:rFonts w:ascii="楷体_GB2312" w:hAnsi="Calibri" w:eastAsia="楷体_GB2312"/>
      <w:sz w:val="24"/>
      <w:szCs w:val="24"/>
    </w:rPr>
  </w:style>
  <w:style w:type="paragraph" w:styleId="5">
    <w:name w:val="toc 3"/>
    <w:basedOn w:val="1"/>
    <w:next w:val="1"/>
    <w:unhideWhenUsed/>
    <w:uiPriority w:val="39"/>
    <w:pPr>
      <w:widowControl/>
      <w:spacing w:after="100" w:line="259" w:lineRule="auto"/>
      <w:ind w:left="440"/>
      <w:jc w:val="left"/>
    </w:pPr>
    <w:rPr>
      <w:rFonts w:ascii="等线" w:hAnsi="等线" w:eastAsia="等线"/>
      <w:kern w:val="0"/>
      <w:sz w:val="22"/>
    </w:rPr>
  </w:style>
  <w:style w:type="paragraph" w:styleId="6">
    <w:name w:val="Balloon Text"/>
    <w:basedOn w:val="1"/>
    <w:link w:val="20"/>
    <w:unhideWhenUsed/>
    <w:uiPriority w:val="99"/>
    <w:rPr>
      <w:sz w:val="18"/>
      <w:szCs w:val="18"/>
    </w:rPr>
  </w:style>
  <w:style w:type="paragraph" w:styleId="7">
    <w:name w:val="footer"/>
    <w:basedOn w:val="1"/>
    <w:link w:val="2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2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oc 1"/>
    <w:basedOn w:val="1"/>
    <w:next w:val="1"/>
    <w:unhideWhenUsed/>
    <w:uiPriority w:val="39"/>
    <w:rPr>
      <w:rFonts w:ascii="Calibri" w:hAnsi="Calibri"/>
    </w:rPr>
  </w:style>
  <w:style w:type="paragraph" w:styleId="10">
    <w:name w:val="toc 2"/>
    <w:basedOn w:val="1"/>
    <w:next w:val="1"/>
    <w:unhideWhenUsed/>
    <w:uiPriority w:val="39"/>
    <w:pPr>
      <w:widowControl/>
      <w:ind w:left="420" w:leftChars="200"/>
      <w:jc w:val="left"/>
    </w:pPr>
    <w:rPr>
      <w:rFonts w:ascii="Calibri" w:hAnsi="Calibri"/>
      <w:kern w:val="0"/>
      <w:sz w:val="20"/>
      <w:szCs w:val="20"/>
    </w:rPr>
  </w:style>
  <w:style w:type="paragraph" w:styleId="11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0"/>
    </w:rPr>
  </w:style>
  <w:style w:type="paragraph" w:styleId="12">
    <w:name w:val="annotation subject"/>
    <w:basedOn w:val="3"/>
    <w:next w:val="3"/>
    <w:link w:val="23"/>
    <w:unhideWhenUsed/>
    <w:uiPriority w:val="99"/>
    <w:rPr>
      <w:b/>
      <w:bCs/>
    </w:rPr>
  </w:style>
  <w:style w:type="character" w:styleId="15">
    <w:name w:val="Hyperlink"/>
    <w:unhideWhenUsed/>
    <w:uiPriority w:val="99"/>
    <w:rPr>
      <w:color w:val="0563C1"/>
      <w:u w:val="single"/>
    </w:rPr>
  </w:style>
  <w:style w:type="character" w:styleId="16">
    <w:name w:val="annotation reference"/>
    <w:unhideWhenUsed/>
    <w:uiPriority w:val="99"/>
    <w:rPr>
      <w:sz w:val="21"/>
      <w:szCs w:val="21"/>
    </w:rPr>
  </w:style>
  <w:style w:type="character" w:customStyle="1" w:styleId="17">
    <w:name w:val="标题 1 字符"/>
    <w:link w:val="2"/>
    <w:uiPriority w:val="9"/>
    <w:rPr>
      <w:b/>
      <w:bCs/>
      <w:kern w:val="44"/>
      <w:sz w:val="44"/>
      <w:szCs w:val="44"/>
    </w:rPr>
  </w:style>
  <w:style w:type="character" w:customStyle="1" w:styleId="18">
    <w:name w:val="批注文字 字符"/>
    <w:link w:val="3"/>
    <w:uiPriority w:val="99"/>
    <w:rPr>
      <w:kern w:val="2"/>
      <w:sz w:val="21"/>
      <w:szCs w:val="22"/>
    </w:rPr>
  </w:style>
  <w:style w:type="character" w:customStyle="1" w:styleId="19">
    <w:name w:val="正文文本缩进 字符"/>
    <w:link w:val="4"/>
    <w:uiPriority w:val="0"/>
    <w:rPr>
      <w:rFonts w:ascii="楷体_GB2312" w:hAnsi="Calibri" w:eastAsia="楷体_GB2312"/>
      <w:kern w:val="2"/>
      <w:sz w:val="24"/>
      <w:szCs w:val="24"/>
    </w:rPr>
  </w:style>
  <w:style w:type="character" w:customStyle="1" w:styleId="20">
    <w:name w:val="批注框文本 字符"/>
    <w:link w:val="6"/>
    <w:semiHidden/>
    <w:uiPriority w:val="99"/>
    <w:rPr>
      <w:kern w:val="2"/>
      <w:sz w:val="18"/>
      <w:szCs w:val="18"/>
    </w:rPr>
  </w:style>
  <w:style w:type="character" w:customStyle="1" w:styleId="21">
    <w:name w:val="页脚 字符"/>
    <w:link w:val="7"/>
    <w:semiHidden/>
    <w:uiPriority w:val="99"/>
    <w:rPr>
      <w:sz w:val="18"/>
      <w:szCs w:val="18"/>
    </w:rPr>
  </w:style>
  <w:style w:type="character" w:customStyle="1" w:styleId="22">
    <w:name w:val="页眉 字符"/>
    <w:link w:val="8"/>
    <w:semiHidden/>
    <w:uiPriority w:val="99"/>
    <w:rPr>
      <w:sz w:val="18"/>
      <w:szCs w:val="18"/>
    </w:rPr>
  </w:style>
  <w:style w:type="character" w:customStyle="1" w:styleId="23">
    <w:name w:val="批注主题 字符"/>
    <w:link w:val="12"/>
    <w:semiHidden/>
    <w:uiPriority w:val="99"/>
    <w:rPr>
      <w:b/>
      <w:bCs/>
      <w:kern w:val="2"/>
      <w:sz w:val="21"/>
      <w:szCs w:val="22"/>
    </w:rPr>
  </w:style>
  <w:style w:type="paragraph" w:styleId="24">
    <w:name w:val=""/>
    <w:basedOn w:val="2"/>
    <w:next w:val="1"/>
    <w:qFormat/>
    <w:uiPriority w:val="39"/>
    <w:pPr>
      <w:widowControl/>
      <w:spacing w:before="240" w:after="0" w:line="259" w:lineRule="auto"/>
      <w:jc w:val="left"/>
      <w:outlineLvl w:val="9"/>
    </w:pPr>
    <w:rPr>
      <w:rFonts w:ascii="等线 Light" w:hAnsi="等线 Light" w:eastAsia="等线 Light" w:cs="Times New Roman"/>
      <w:b w:val="0"/>
      <w:bCs w:val="0"/>
      <w:color w:val="2F5496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802</Words>
  <Characters>820</Characters>
  <Lines>103</Lines>
  <Paragraphs>29</Paragraphs>
  <TotalTime>0</TotalTime>
  <ScaleCrop>false</ScaleCrop>
  <LinksUpToDate>false</LinksUpToDate>
  <CharactersWithSpaces>823</CharactersWithSpaces>
  <Application>WPS Office_12.1.0.24031_F1E327BC-269C-435d-A152-05C5408002CA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2014-08-12T03:54:00Z</dcterms:created>
  <dc:creator>微软用户</dc:creator>
  <cp:lastModifiedBy>李坤伦</cp:lastModifiedBy>
  <dcterms:modified xsi:type="dcterms:W3CDTF">2026-07-01T01:41:23Z</dcterms:modified>
  <dc:title>附件7：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2052-12.1.0.24031</vt:lpwstr>
  </property>
  <property fmtid="{D5CDD505-2E9C-101B-9397-08002B2CF9AE}" pid="3" name="ICV">
    <vt:lpwstr>9D7249678FF741B0BA4D19704FCCC1B4_13</vt:lpwstr>
  </property>
  <property fmtid="{D5CDD505-2E9C-101B-9397-08002B2CF9AE}" pid="4" name="KSOTemplateDocerSaveRecord">
    <vt:lpwstr>eyJoZGlkIjoiNDIyNzEzY2QzMzA3OWEzMGQ3MzE1ZDllOWZjYjI1N2QiLCJ1c2VySWQiOiIyMDQwMTE2ODcifQ==</vt:lpwstr>
  </property>
</Properties>
</file>