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E4D09">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宋体"/>
          <w:b/>
          <w:bCs/>
          <w:sz w:val="32"/>
          <w:szCs w:val="32"/>
        </w:rPr>
      </w:pPr>
      <w:bookmarkStart w:id="0" w:name="_Toc178782453"/>
      <w:r>
        <w:rPr>
          <w:rFonts w:hint="eastAsia" w:ascii="黑体" w:hAnsi="黑体" w:eastAsia="黑体" w:cs="宋体"/>
          <w:b/>
          <w:bCs/>
          <w:sz w:val="32"/>
          <w:szCs w:val="32"/>
        </w:rPr>
        <w:t>342 农业知识综合四</w:t>
      </w:r>
      <w:bookmarkEnd w:id="0"/>
    </w:p>
    <w:p w14:paraId="32B67980">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宋体"/>
          <w:b/>
          <w:bCs/>
          <w:sz w:val="32"/>
          <w:szCs w:val="32"/>
        </w:rPr>
      </w:pPr>
      <w:bookmarkStart w:id="1" w:name="_GoBack"/>
      <w:bookmarkEnd w:id="1"/>
    </w:p>
    <w:p w14:paraId="3D324DCA">
      <w:pPr>
        <w:spacing w:line="360" w:lineRule="auto"/>
        <w:rPr>
          <w:rFonts w:hint="eastAsia" w:ascii="宋体" w:hAnsi="宋体"/>
          <w:b/>
          <w:bCs/>
          <w:sz w:val="28"/>
          <w:szCs w:val="28"/>
        </w:rPr>
      </w:pPr>
      <w:r>
        <w:rPr>
          <w:rFonts w:hint="eastAsia" w:ascii="宋体" w:hAnsi="宋体"/>
          <w:b/>
          <w:bCs/>
          <w:sz w:val="28"/>
          <w:szCs w:val="28"/>
        </w:rPr>
        <w:t>一、考试性质</w:t>
      </w:r>
    </w:p>
    <w:p w14:paraId="2FFD2674">
      <w:pPr>
        <w:pStyle w:val="11"/>
        <w:spacing w:before="0" w:beforeAutospacing="0" w:after="0" w:afterAutospacing="0" w:line="360" w:lineRule="auto"/>
        <w:ind w:firstLine="480" w:firstLineChars="200"/>
        <w:jc w:val="both"/>
        <w:rPr>
          <w:rFonts w:hint="eastAsia" w:cs="Arial"/>
        </w:rPr>
      </w:pPr>
      <w:r>
        <w:rPr>
          <w:rFonts w:hint="eastAsia" w:cs="Arial"/>
        </w:rPr>
        <w:t>农业综合知识四</w:t>
      </w:r>
      <w:r>
        <w:rPr>
          <w:rFonts w:cs="Arial"/>
        </w:rPr>
        <w:t>是</w:t>
      </w:r>
      <w:r>
        <w:rPr>
          <w:rFonts w:hint="eastAsia" w:cs="Arial"/>
        </w:rPr>
        <w:t>农业</w:t>
      </w:r>
      <w:r>
        <w:rPr>
          <w:rFonts w:cs="Arial"/>
        </w:rPr>
        <w:t>硕士</w:t>
      </w:r>
      <w:r>
        <w:rPr>
          <w:rFonts w:hint="eastAsia" w:cs="Arial"/>
        </w:rPr>
        <w:t>专业学位农业管理领域</w:t>
      </w:r>
      <w:r>
        <w:rPr>
          <w:rFonts w:cs="Arial"/>
        </w:rPr>
        <w:t>入学初试考试的专业基础课程。</w:t>
      </w:r>
      <w:r>
        <w:rPr>
          <w:rFonts w:hint="eastAsia" w:cs="Arial"/>
        </w:rPr>
        <w:t xml:space="preserve"> </w:t>
      </w:r>
    </w:p>
    <w:p w14:paraId="0DDD468E">
      <w:pPr>
        <w:spacing w:line="360" w:lineRule="auto"/>
        <w:rPr>
          <w:rFonts w:hint="eastAsia" w:ascii="宋体" w:hAnsi="宋体"/>
          <w:b/>
          <w:bCs/>
          <w:color w:val="auto"/>
          <w:sz w:val="28"/>
          <w:szCs w:val="28"/>
          <w:highlight w:val="none"/>
        </w:rPr>
      </w:pPr>
      <w:r>
        <w:rPr>
          <w:rFonts w:hint="eastAsia" w:ascii="宋体" w:hAnsi="宋体"/>
          <w:b/>
          <w:bCs/>
          <w:sz w:val="28"/>
          <w:szCs w:val="28"/>
        </w:rPr>
        <w:t>二、考查目标</w:t>
      </w:r>
    </w:p>
    <w:p w14:paraId="29368E88">
      <w:pPr>
        <w:pStyle w:val="11"/>
        <w:spacing w:before="0" w:beforeAutospacing="0" w:after="0" w:afterAutospacing="0" w:line="360" w:lineRule="auto"/>
        <w:ind w:firstLine="480" w:firstLineChars="200"/>
        <w:jc w:val="both"/>
        <w:rPr>
          <w:rFonts w:hint="eastAsia" w:cs="Arial"/>
        </w:rPr>
      </w:pPr>
      <w:r>
        <w:rPr>
          <w:rFonts w:cs="Arial"/>
          <w:color w:val="auto"/>
          <w:highlight w:val="none"/>
        </w:rPr>
        <w:t>本考试大纲</w:t>
      </w:r>
      <w:r>
        <w:rPr>
          <w:rFonts w:hint="eastAsia" w:cs="Arial"/>
          <w:color w:val="auto"/>
          <w:highlight w:val="none"/>
        </w:rPr>
        <w:t>依照</w:t>
      </w:r>
      <w:r>
        <w:rPr>
          <w:rFonts w:hint="eastAsia" w:cs="Arial"/>
          <w:color w:val="auto"/>
          <w:highlight w:val="none"/>
        </w:rPr>
        <w:t>2</w:t>
      </w:r>
      <w:r>
        <w:rPr>
          <w:rFonts w:cs="Arial"/>
          <w:color w:val="auto"/>
          <w:highlight w:val="none"/>
        </w:rPr>
        <w:t>025</w:t>
      </w:r>
      <w:r>
        <w:rPr>
          <w:rFonts w:hint="eastAsia" w:cs="Arial"/>
          <w:color w:val="auto"/>
          <w:highlight w:val="none"/>
        </w:rPr>
        <w:t>年全国农业专业学位研究生教育指导委员会制定的《农业硕士专业学位研究生入学考试&lt;农业知识综合&gt;科目命题指导意见》</w:t>
      </w:r>
      <w:r>
        <w:rPr>
          <w:rFonts w:hint="eastAsia" w:cs="Arial"/>
          <w:color w:val="auto"/>
          <w:highlight w:val="none"/>
        </w:rPr>
        <w:t>，力求</w:t>
      </w:r>
      <w:r>
        <w:rPr>
          <w:rFonts w:cs="Arial"/>
          <w:color w:val="auto"/>
          <w:highlight w:val="none"/>
        </w:rPr>
        <w:t>反映</w:t>
      </w:r>
      <w:r>
        <w:rPr>
          <w:rFonts w:hint="eastAsia" w:cs="Arial"/>
          <w:color w:val="auto"/>
          <w:highlight w:val="none"/>
        </w:rPr>
        <w:t>农业</w:t>
      </w:r>
      <w:r>
        <w:rPr>
          <w:rFonts w:cs="Arial"/>
          <w:color w:val="auto"/>
          <w:highlight w:val="none"/>
        </w:rPr>
        <w:t>硕士专业学位的特点，科学、准确、规范地测评考生</w:t>
      </w:r>
      <w:r>
        <w:rPr>
          <w:rFonts w:hint="eastAsia" w:cs="Arial"/>
          <w:color w:val="auto"/>
          <w:highlight w:val="none"/>
        </w:rPr>
        <w:t>关于农业农村发</w:t>
      </w:r>
      <w:r>
        <w:rPr>
          <w:rFonts w:hint="eastAsia" w:cs="Arial"/>
        </w:rPr>
        <w:t>展与管理的综合知识</w:t>
      </w:r>
      <w:r>
        <w:rPr>
          <w:rFonts w:cs="Arial"/>
        </w:rPr>
        <w:t>，</w:t>
      </w:r>
      <w:r>
        <w:rPr>
          <w:rFonts w:hint="eastAsia" w:cs="Arial"/>
        </w:rPr>
        <w:t>内容涵盖农业经济学、农村社会学、农业政策学等课程。要求考生准确理解和掌握相关课程基础知识和基本理论，熟练运用经济学、管理学基本理论</w:t>
      </w:r>
      <w:r>
        <w:rPr>
          <w:rFonts w:cs="Arial"/>
        </w:rPr>
        <w:t>分析</w:t>
      </w:r>
      <w:r>
        <w:rPr>
          <w:rFonts w:hint="eastAsia" w:cs="Arial"/>
        </w:rPr>
        <w:t>、判断、</w:t>
      </w:r>
      <w:r>
        <w:rPr>
          <w:rFonts w:cs="Arial"/>
        </w:rPr>
        <w:t>解决</w:t>
      </w:r>
      <w:r>
        <w:rPr>
          <w:rFonts w:hint="eastAsia" w:cs="Arial"/>
        </w:rPr>
        <w:t>农业农村发展中的实际问题。</w:t>
      </w:r>
    </w:p>
    <w:p w14:paraId="137359C4">
      <w:pPr>
        <w:spacing w:line="360" w:lineRule="auto"/>
        <w:rPr>
          <w:rFonts w:hint="eastAsia" w:ascii="宋体" w:hAnsi="宋体"/>
          <w:b/>
          <w:bCs/>
          <w:sz w:val="28"/>
          <w:szCs w:val="28"/>
        </w:rPr>
      </w:pPr>
      <w:r>
        <w:rPr>
          <w:rFonts w:hint="eastAsia" w:ascii="宋体" w:hAnsi="宋体"/>
          <w:b/>
          <w:bCs/>
          <w:sz w:val="28"/>
          <w:szCs w:val="28"/>
        </w:rPr>
        <w:t>三、考试形式</w:t>
      </w:r>
    </w:p>
    <w:p w14:paraId="3883C7E9">
      <w:pPr>
        <w:pStyle w:val="11"/>
        <w:spacing w:before="0" w:beforeAutospacing="0" w:after="0" w:afterAutospacing="0" w:line="360" w:lineRule="auto"/>
        <w:ind w:firstLine="480" w:firstLineChars="200"/>
        <w:jc w:val="both"/>
      </w:pPr>
      <w:r>
        <w:rPr>
          <w:rFonts w:hint="eastAsia"/>
        </w:rPr>
        <w:t>本考试为闭卷考试，满分为150分，考试时间为180分钟。</w:t>
      </w:r>
    </w:p>
    <w:p w14:paraId="727E19B1">
      <w:pPr>
        <w:spacing w:line="360" w:lineRule="auto"/>
        <w:rPr>
          <w:rFonts w:hint="eastAsia" w:ascii="宋体" w:hAnsi="宋体"/>
          <w:b/>
          <w:bCs/>
          <w:sz w:val="28"/>
          <w:szCs w:val="28"/>
        </w:rPr>
      </w:pPr>
      <w:r>
        <w:rPr>
          <w:rFonts w:hint="eastAsia" w:ascii="宋体" w:hAnsi="宋体"/>
          <w:b/>
          <w:bCs/>
          <w:sz w:val="28"/>
          <w:szCs w:val="28"/>
        </w:rPr>
        <w:t>四、考试内容</w:t>
      </w:r>
    </w:p>
    <w:p w14:paraId="5F5B5C13">
      <w:pPr>
        <w:pStyle w:val="11"/>
        <w:spacing w:before="0" w:beforeAutospacing="0" w:after="0" w:afterAutospacing="0" w:line="360" w:lineRule="auto"/>
        <w:ind w:firstLine="400"/>
        <w:jc w:val="both"/>
        <w:rPr>
          <w:rFonts w:hint="eastAsia" w:cs="Arial"/>
          <w:b/>
        </w:rPr>
      </w:pPr>
      <w:r>
        <w:rPr>
          <w:rFonts w:cs="Arial"/>
          <w:b/>
        </w:rPr>
        <w:t>（一）</w:t>
      </w:r>
      <w:r>
        <w:rPr>
          <w:rFonts w:hint="eastAsia" w:cs="Arial"/>
          <w:b/>
        </w:rPr>
        <w:t>农业经济学</w:t>
      </w:r>
    </w:p>
    <w:p w14:paraId="48C022A1">
      <w:pPr>
        <w:spacing w:line="360" w:lineRule="auto"/>
        <w:ind w:firstLine="480" w:firstLineChars="200"/>
        <w:rPr>
          <w:rFonts w:hint="eastAsia" w:ascii="宋体" w:hAnsi="宋体"/>
          <w:sz w:val="24"/>
        </w:rPr>
      </w:pPr>
      <w:r>
        <w:rPr>
          <w:rFonts w:hint="eastAsia" w:ascii="宋体" w:hAnsi="宋体"/>
          <w:sz w:val="24"/>
        </w:rPr>
        <w:t>要求考生理解和掌握农业经济学的基本概念、基础知识、基本理论和基本方法，能够运用基本理论和基本方法分析农业农村中的现象与问题，熟悉农业发展问题研究进展与相关政策。</w:t>
      </w:r>
    </w:p>
    <w:p w14:paraId="7A4F91AF">
      <w:pPr>
        <w:spacing w:line="360" w:lineRule="auto"/>
        <w:rPr>
          <w:rFonts w:ascii="宋体" w:hAnsi="宋体"/>
          <w:sz w:val="24"/>
        </w:rPr>
      </w:pPr>
      <w:r>
        <w:rPr>
          <w:rFonts w:ascii="宋体" w:hAnsi="宋体"/>
          <w:sz w:val="24"/>
        </w:rPr>
        <w:t>1.</w:t>
      </w:r>
      <w:r>
        <w:rPr>
          <w:rFonts w:hint="eastAsia" w:ascii="宋体" w:hAnsi="宋体"/>
          <w:sz w:val="24"/>
        </w:rPr>
        <w:t>农业与农业经济学</w:t>
      </w:r>
    </w:p>
    <w:p w14:paraId="589548F0">
      <w:pPr>
        <w:spacing w:line="360" w:lineRule="auto"/>
        <w:rPr>
          <w:rFonts w:hint="eastAsia" w:ascii="宋体" w:hAnsi="宋体"/>
          <w:sz w:val="24"/>
        </w:rPr>
      </w:pPr>
      <w:r>
        <w:rPr>
          <w:rFonts w:hint="eastAsia" w:ascii="宋体" w:hAnsi="宋体"/>
          <w:sz w:val="24"/>
        </w:rPr>
        <w:t xml:space="preserve">    农业概念与特征、农业的类型、农业的贡献、农业的功能、农业新理念、农业高质量发展与农业强国建设、低碳农业；消费决策、生产理论、市场理论、国民收入理论、宏观调控政策。</w:t>
      </w:r>
    </w:p>
    <w:p w14:paraId="1400232B">
      <w:pPr>
        <w:spacing w:line="360" w:lineRule="auto"/>
        <w:rPr>
          <w:rFonts w:ascii="宋体" w:hAnsi="宋体"/>
          <w:sz w:val="24"/>
        </w:rPr>
      </w:pPr>
      <w:r>
        <w:rPr>
          <w:rFonts w:hint="eastAsia" w:ascii="宋体" w:hAnsi="宋体"/>
          <w:sz w:val="24"/>
        </w:rPr>
        <w:t>2.农业生产要素</w:t>
      </w:r>
    </w:p>
    <w:p w14:paraId="1876F69C">
      <w:pPr>
        <w:spacing w:line="360" w:lineRule="auto"/>
        <w:rPr>
          <w:rFonts w:hint="eastAsia"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农业生产要素构成与特征、农业土地要素、农业劳动力要素、农业技术要素、农业资本要素、农业信息与农业数字化、农业资源利用、农业科技创新与应用。</w:t>
      </w:r>
    </w:p>
    <w:p w14:paraId="4034C224">
      <w:pPr>
        <w:spacing w:line="360" w:lineRule="auto"/>
        <w:rPr>
          <w:rFonts w:ascii="宋体" w:hAnsi="宋体"/>
          <w:sz w:val="24"/>
        </w:rPr>
      </w:pPr>
      <w:r>
        <w:rPr>
          <w:rFonts w:hint="eastAsia" w:ascii="宋体" w:hAnsi="宋体"/>
          <w:sz w:val="24"/>
        </w:rPr>
        <w:t>3.农业生产经营</w:t>
      </w:r>
    </w:p>
    <w:p w14:paraId="3C37E2C8">
      <w:pPr>
        <w:spacing w:line="360" w:lineRule="auto"/>
        <w:ind w:firstLine="480" w:firstLineChars="200"/>
        <w:rPr>
          <w:rFonts w:hint="eastAsia" w:ascii="宋体" w:hAnsi="宋体"/>
          <w:sz w:val="24"/>
        </w:rPr>
      </w:pPr>
      <w:r>
        <w:rPr>
          <w:rFonts w:hint="eastAsia" w:ascii="宋体" w:hAnsi="宋体"/>
          <w:sz w:val="24"/>
        </w:rPr>
        <w:t>农业经营方式、家庭农场、农业合作经济、农业社会化服务、农业规模经营、新型农业经营主体、农业企业、土地制度、农业家庭经营制度。</w:t>
      </w:r>
    </w:p>
    <w:p w14:paraId="0380234E">
      <w:pPr>
        <w:spacing w:line="360" w:lineRule="auto"/>
        <w:rPr>
          <w:rFonts w:ascii="宋体" w:hAnsi="宋体"/>
          <w:sz w:val="24"/>
        </w:rPr>
      </w:pPr>
      <w:r>
        <w:rPr>
          <w:rFonts w:hint="eastAsia" w:ascii="宋体" w:hAnsi="宋体"/>
          <w:sz w:val="24"/>
        </w:rPr>
        <w:t>4.农产品市场</w:t>
      </w:r>
    </w:p>
    <w:p w14:paraId="2DE419DC">
      <w:pPr>
        <w:spacing w:line="360" w:lineRule="auto"/>
        <w:rPr>
          <w:rFonts w:ascii="宋体" w:hAnsi="宋体"/>
          <w:sz w:val="24"/>
        </w:rPr>
      </w:pPr>
      <w:r>
        <w:rPr>
          <w:rFonts w:hint="eastAsia" w:ascii="宋体" w:hAnsi="宋体"/>
          <w:sz w:val="24"/>
        </w:rPr>
        <w:t xml:space="preserve">   农产品供求、农产品市场、农产品流通、农产品价格、农产品营销、农产品贸易与保护、粮食与食物安全。</w:t>
      </w:r>
    </w:p>
    <w:p w14:paraId="7740CFC1">
      <w:pPr>
        <w:spacing w:line="360" w:lineRule="auto"/>
        <w:rPr>
          <w:rFonts w:ascii="宋体" w:hAnsi="宋体"/>
          <w:sz w:val="24"/>
        </w:rPr>
      </w:pPr>
      <w:r>
        <w:rPr>
          <w:rFonts w:hint="eastAsia" w:ascii="宋体" w:hAnsi="宋体"/>
          <w:sz w:val="24"/>
        </w:rPr>
        <w:t>5.农业产业化</w:t>
      </w:r>
    </w:p>
    <w:p w14:paraId="598120CD">
      <w:pPr>
        <w:spacing w:line="360" w:lineRule="auto"/>
        <w:rPr>
          <w:rFonts w:hint="eastAsia" w:ascii="宋体" w:hAnsi="宋体"/>
          <w:sz w:val="24"/>
        </w:rPr>
      </w:pPr>
      <w:r>
        <w:rPr>
          <w:rFonts w:hint="eastAsia" w:ascii="宋体" w:hAnsi="宋体"/>
          <w:sz w:val="24"/>
        </w:rPr>
        <w:t xml:space="preserve">    农业关联产业、农业产业结构、农业产业链、农业产业化运营、农业专业化、三产融合。</w:t>
      </w:r>
    </w:p>
    <w:p w14:paraId="13CBCA27">
      <w:pPr>
        <w:spacing w:line="360" w:lineRule="auto"/>
        <w:rPr>
          <w:rFonts w:hint="eastAsia" w:ascii="宋体" w:hAnsi="宋体"/>
          <w:sz w:val="24"/>
        </w:rPr>
      </w:pPr>
      <w:r>
        <w:rPr>
          <w:rFonts w:hint="eastAsia" w:ascii="宋体" w:hAnsi="宋体"/>
          <w:sz w:val="24"/>
        </w:rPr>
        <w:t xml:space="preserve">6.农业现代化与可持续发展 </w:t>
      </w:r>
    </w:p>
    <w:p w14:paraId="77D5831F">
      <w:pPr>
        <w:spacing w:line="360" w:lineRule="auto"/>
        <w:ind w:firstLine="480" w:firstLineChars="200"/>
        <w:rPr>
          <w:rFonts w:hint="eastAsia" w:ascii="宋体" w:hAnsi="宋体"/>
          <w:sz w:val="24"/>
        </w:rPr>
      </w:pPr>
      <w:r>
        <w:rPr>
          <w:rFonts w:hint="eastAsia" w:ascii="宋体" w:hAnsi="宋体"/>
          <w:sz w:val="24"/>
        </w:rPr>
        <w:t>农业现代化、现代农业、都市农业、生态农业、休闲农业、精准农业、农业可持续发展、农业环境保护与资源利用、农业灾害与风险防范、农业转型与产业升级、农业发展规划。</w:t>
      </w:r>
    </w:p>
    <w:p w14:paraId="224B5B09">
      <w:pPr>
        <w:spacing w:line="360" w:lineRule="auto"/>
        <w:rPr>
          <w:rFonts w:ascii="宋体" w:hAnsi="宋体"/>
          <w:sz w:val="24"/>
        </w:rPr>
      </w:pPr>
      <w:r>
        <w:rPr>
          <w:rFonts w:hint="eastAsia" w:ascii="宋体" w:hAnsi="宋体"/>
          <w:sz w:val="24"/>
        </w:rPr>
        <w:t>7.农民行为</w:t>
      </w:r>
    </w:p>
    <w:p w14:paraId="307A7986">
      <w:pPr>
        <w:spacing w:line="360" w:lineRule="auto"/>
        <w:ind w:firstLine="480" w:firstLineChars="200"/>
        <w:rPr>
          <w:rFonts w:hint="eastAsia" w:ascii="宋体" w:hAnsi="宋体"/>
          <w:sz w:val="24"/>
        </w:rPr>
      </w:pPr>
      <w:r>
        <w:rPr>
          <w:rFonts w:hint="eastAsia" w:ascii="宋体" w:hAnsi="宋体"/>
          <w:sz w:val="24"/>
        </w:rPr>
        <w:t>农民收入、农民消费、农户经济、农户兼业化、农民就业、农业劳动力流动、农民老龄化。</w:t>
      </w:r>
    </w:p>
    <w:p w14:paraId="2B71060D">
      <w:pPr>
        <w:spacing w:line="360" w:lineRule="auto"/>
        <w:rPr>
          <w:rFonts w:hint="eastAsia" w:ascii="宋体" w:hAnsi="宋体" w:cs="Arial"/>
          <w:b/>
          <w:sz w:val="24"/>
        </w:rPr>
      </w:pPr>
      <w:r>
        <w:rPr>
          <w:rFonts w:hint="eastAsia" w:ascii="宋体" w:hAnsi="宋体" w:cs="Arial"/>
          <w:b/>
          <w:sz w:val="24"/>
        </w:rPr>
        <w:t>（二）农业政策学</w:t>
      </w:r>
    </w:p>
    <w:p w14:paraId="13DC2C28">
      <w:pPr>
        <w:spacing w:line="360" w:lineRule="auto"/>
        <w:ind w:firstLine="480" w:firstLineChars="200"/>
        <w:rPr>
          <w:rFonts w:hint="eastAsia" w:ascii="宋体" w:hAnsi="宋体"/>
          <w:sz w:val="24"/>
        </w:rPr>
      </w:pPr>
      <w:r>
        <w:rPr>
          <w:rFonts w:ascii="宋体" w:hAnsi="宋体"/>
          <w:sz w:val="24"/>
        </w:rPr>
        <w:t>掌握</w:t>
      </w:r>
      <w:r>
        <w:rPr>
          <w:rFonts w:hint="eastAsia" w:ascii="宋体" w:hAnsi="宋体"/>
          <w:sz w:val="24"/>
        </w:rPr>
        <w:t>农业</w:t>
      </w:r>
      <w:r>
        <w:rPr>
          <w:rFonts w:ascii="宋体" w:hAnsi="宋体"/>
          <w:sz w:val="24"/>
        </w:rPr>
        <w:t>政策的实质、基本特征，农业政策对农业发展的作用，农业政策分析的基本原理、基本方法</w:t>
      </w:r>
      <w:r>
        <w:rPr>
          <w:rFonts w:hint="eastAsia" w:ascii="宋体" w:hAnsi="宋体"/>
          <w:sz w:val="24"/>
        </w:rPr>
        <w:t>，</w:t>
      </w:r>
      <w:r>
        <w:rPr>
          <w:rFonts w:ascii="宋体" w:hAnsi="宋体"/>
          <w:sz w:val="24"/>
        </w:rPr>
        <w:t>了解现阶段我国主要的农业政策</w:t>
      </w:r>
      <w:r>
        <w:rPr>
          <w:rFonts w:hint="eastAsia" w:ascii="宋体" w:hAnsi="宋体"/>
          <w:sz w:val="24"/>
        </w:rPr>
        <w:t>，</w:t>
      </w:r>
      <w:r>
        <w:rPr>
          <w:rFonts w:ascii="宋体" w:hAnsi="宋体"/>
          <w:sz w:val="24"/>
        </w:rPr>
        <w:t>能够运用政策学的理论和方法分析我国农业发展中的一些具体的农业政策问题。</w:t>
      </w:r>
    </w:p>
    <w:p w14:paraId="478E74A5">
      <w:pPr>
        <w:spacing w:line="360" w:lineRule="auto"/>
        <w:rPr>
          <w:rFonts w:hint="eastAsia" w:ascii="宋体" w:hAnsi="宋体"/>
          <w:sz w:val="24"/>
        </w:rPr>
      </w:pPr>
      <w:r>
        <w:rPr>
          <w:rFonts w:hint="eastAsia" w:ascii="宋体" w:hAnsi="宋体"/>
          <w:sz w:val="24"/>
        </w:rPr>
        <w:t>1.农业政策学的基本内容</w:t>
      </w:r>
    </w:p>
    <w:p w14:paraId="638C0D7C">
      <w:pPr>
        <w:spacing w:line="360" w:lineRule="auto"/>
        <w:ind w:firstLine="480" w:firstLineChars="200"/>
        <w:rPr>
          <w:rFonts w:hint="eastAsia" w:ascii="宋体" w:hAnsi="宋体"/>
          <w:sz w:val="24"/>
        </w:rPr>
      </w:pPr>
      <w:r>
        <w:rPr>
          <w:rFonts w:hint="eastAsia" w:ascii="宋体" w:hAnsi="宋体"/>
          <w:sz w:val="24"/>
        </w:rPr>
        <w:t>政策与政策科学、农业政策、</w:t>
      </w:r>
      <w:r>
        <w:rPr>
          <w:rFonts w:ascii="宋体" w:hAnsi="宋体"/>
          <w:sz w:val="24"/>
        </w:rPr>
        <w:t>农业政策分析</w:t>
      </w:r>
      <w:r>
        <w:rPr>
          <w:rFonts w:hint="eastAsia" w:ascii="宋体" w:hAnsi="宋体"/>
          <w:sz w:val="24"/>
        </w:rPr>
        <w:t>、</w:t>
      </w:r>
      <w:r>
        <w:rPr>
          <w:rFonts w:ascii="宋体" w:hAnsi="宋体"/>
          <w:sz w:val="24"/>
        </w:rPr>
        <w:t>农业政策的制定</w:t>
      </w:r>
      <w:r>
        <w:rPr>
          <w:rFonts w:hint="eastAsia" w:ascii="宋体" w:hAnsi="宋体"/>
          <w:sz w:val="24"/>
        </w:rPr>
        <w:t>、</w:t>
      </w:r>
      <w:r>
        <w:rPr>
          <w:rFonts w:ascii="宋体" w:hAnsi="宋体"/>
          <w:sz w:val="24"/>
        </w:rPr>
        <w:t>农业政策的执行</w:t>
      </w:r>
      <w:r>
        <w:rPr>
          <w:rFonts w:hint="eastAsia" w:ascii="宋体" w:hAnsi="宋体"/>
          <w:sz w:val="24"/>
        </w:rPr>
        <w:t>、</w:t>
      </w:r>
      <w:r>
        <w:rPr>
          <w:rFonts w:ascii="宋体" w:hAnsi="宋体"/>
          <w:sz w:val="24"/>
        </w:rPr>
        <w:t>农业政策评估与调整</w:t>
      </w:r>
      <w:r>
        <w:rPr>
          <w:rFonts w:hint="eastAsia" w:ascii="宋体" w:hAnsi="宋体"/>
          <w:sz w:val="24"/>
        </w:rPr>
        <w:t>。</w:t>
      </w:r>
    </w:p>
    <w:p w14:paraId="60D7F08A">
      <w:pPr>
        <w:spacing w:line="360" w:lineRule="auto"/>
        <w:rPr>
          <w:rFonts w:ascii="宋体" w:hAnsi="宋体"/>
          <w:sz w:val="24"/>
        </w:rPr>
      </w:pPr>
      <w:r>
        <w:rPr>
          <w:rFonts w:ascii="宋体" w:hAnsi="宋体"/>
          <w:sz w:val="24"/>
        </w:rPr>
        <w:t>2.</w:t>
      </w:r>
      <w:r>
        <w:rPr>
          <w:rFonts w:hint="eastAsia" w:ascii="宋体" w:hAnsi="宋体"/>
          <w:sz w:val="24"/>
        </w:rPr>
        <w:t>中</w:t>
      </w:r>
      <w:r>
        <w:rPr>
          <w:rFonts w:ascii="宋体" w:hAnsi="宋体"/>
          <w:sz w:val="24"/>
        </w:rPr>
        <w:t>国的农业政策</w:t>
      </w:r>
    </w:p>
    <w:p w14:paraId="0297C8E8">
      <w:pPr>
        <w:spacing w:line="360" w:lineRule="auto"/>
        <w:ind w:firstLine="480" w:firstLineChars="200"/>
        <w:rPr>
          <w:rFonts w:ascii="宋体" w:hAnsi="宋体" w:cs="Arial"/>
          <w:b/>
          <w:sz w:val="24"/>
        </w:rPr>
      </w:pPr>
      <w:r>
        <w:rPr>
          <w:rFonts w:hint="eastAsia" w:ascii="宋体" w:hAnsi="宋体"/>
          <w:sz w:val="24"/>
        </w:rPr>
        <w:t>农村土地政策、农村人力资源政策、农业科学技术政策、农业组织政策、农产品市场与流通政策、农业财政与金融政策、农业产业政策、农业结构政策、农民收入政策、农业可持续发展政策、农产品价格与贸易政策、农产品质量安全政策、农产品减损节约政策、农业对外开放政策、农业基本经营制度、农村社会发展政策、农村扶贫政策。</w:t>
      </w:r>
    </w:p>
    <w:p w14:paraId="1527E351">
      <w:pPr>
        <w:spacing w:line="360" w:lineRule="auto"/>
        <w:rPr>
          <w:rFonts w:hint="eastAsia" w:ascii="宋体" w:hAnsi="宋体"/>
          <w:b/>
          <w:sz w:val="24"/>
        </w:rPr>
      </w:pPr>
      <w:r>
        <w:rPr>
          <w:rFonts w:hint="eastAsia" w:ascii="宋体" w:hAnsi="宋体" w:cs="Arial"/>
          <w:b/>
          <w:sz w:val="24"/>
        </w:rPr>
        <w:t>（</w:t>
      </w:r>
      <w:r>
        <w:rPr>
          <w:rFonts w:hint="eastAsia" w:ascii="宋体" w:hAnsi="宋体"/>
          <w:b/>
          <w:sz w:val="24"/>
        </w:rPr>
        <w:t>三）农村社会学</w:t>
      </w:r>
    </w:p>
    <w:p w14:paraId="10432BF5">
      <w:pPr>
        <w:spacing w:line="360" w:lineRule="auto"/>
        <w:ind w:firstLine="480" w:firstLineChars="200"/>
        <w:rPr>
          <w:rFonts w:ascii="宋体" w:hAnsi="宋体"/>
          <w:sz w:val="24"/>
        </w:rPr>
      </w:pPr>
      <w:r>
        <w:rPr>
          <w:rFonts w:hint="eastAsia" w:ascii="宋体" w:hAnsi="宋体"/>
          <w:sz w:val="24"/>
        </w:rPr>
        <w:t>理解和掌握农村社会学的基础知识和基本理论，能够运用基本理论和基本方法以及运用新的社会科学的研究成果分析，判断和解决农村社会实际中出现的具体发展问题。</w:t>
      </w:r>
    </w:p>
    <w:p w14:paraId="3B7E20E0">
      <w:pPr>
        <w:spacing w:line="360" w:lineRule="auto"/>
        <w:rPr>
          <w:rFonts w:ascii="宋体" w:hAnsi="宋体"/>
          <w:sz w:val="24"/>
        </w:rPr>
      </w:pPr>
      <w:r>
        <w:rPr>
          <w:rFonts w:hint="eastAsia" w:ascii="宋体" w:hAnsi="宋体"/>
          <w:sz w:val="24"/>
        </w:rPr>
        <w:t>1.农村社会构成</w:t>
      </w:r>
    </w:p>
    <w:p w14:paraId="422E4CC0">
      <w:pPr>
        <w:spacing w:line="360" w:lineRule="auto"/>
        <w:ind w:firstLine="480" w:firstLineChars="200"/>
        <w:rPr>
          <w:rFonts w:ascii="宋体" w:hAnsi="宋体"/>
          <w:sz w:val="24"/>
        </w:rPr>
      </w:pPr>
      <w:r>
        <w:rPr>
          <w:rFonts w:hint="eastAsia" w:ascii="宋体" w:hAnsi="宋体"/>
          <w:sz w:val="24"/>
        </w:rPr>
        <w:t>农村人口、农村家庭、农村经济、农村文化、农村教育、农村社会保障、村落与农村社区、农民及其社会特征、农村社会关系、农村社会组织、乡村治理。</w:t>
      </w:r>
    </w:p>
    <w:p w14:paraId="423E5549">
      <w:pPr>
        <w:spacing w:line="360" w:lineRule="auto"/>
        <w:rPr>
          <w:rFonts w:ascii="宋体" w:hAnsi="宋体"/>
          <w:sz w:val="24"/>
        </w:rPr>
      </w:pPr>
      <w:r>
        <w:rPr>
          <w:rFonts w:hint="eastAsia" w:ascii="宋体" w:hAnsi="宋体"/>
          <w:sz w:val="24"/>
        </w:rPr>
        <w:t>2.农村社会发展</w:t>
      </w:r>
    </w:p>
    <w:p w14:paraId="6EB3B096">
      <w:pPr>
        <w:spacing w:line="360" w:lineRule="auto"/>
        <w:ind w:firstLine="480" w:firstLineChars="200"/>
        <w:rPr>
          <w:rFonts w:ascii="宋体" w:hAnsi="宋体"/>
          <w:sz w:val="24"/>
        </w:rPr>
      </w:pPr>
      <w:r>
        <w:rPr>
          <w:rFonts w:hint="eastAsia" w:ascii="宋体" w:hAnsi="宋体"/>
          <w:sz w:val="24"/>
        </w:rPr>
        <w:t>农村人地关系、农民生产生活与农村家庭、农村工业化、农村城镇化、城乡融合、小城镇建设、城乡关系与城乡统筹、农村社会变迁与社会发展、农村社会现代化、新农村建设、乡村振兴战略。</w:t>
      </w:r>
    </w:p>
    <w:p w14:paraId="3F9D2135">
      <w:pPr>
        <w:spacing w:line="360" w:lineRule="auto"/>
        <w:rPr>
          <w:rFonts w:ascii="宋体" w:hAnsi="宋体"/>
          <w:sz w:val="24"/>
        </w:rPr>
      </w:pPr>
      <w:r>
        <w:rPr>
          <w:rFonts w:hint="eastAsia" w:ascii="宋体" w:hAnsi="宋体"/>
          <w:sz w:val="24"/>
        </w:rPr>
        <w:t>3.农村社会问题</w:t>
      </w:r>
    </w:p>
    <w:p w14:paraId="05227A28">
      <w:pPr>
        <w:spacing w:line="360" w:lineRule="auto"/>
        <w:ind w:firstLine="480" w:firstLineChars="200"/>
        <w:rPr>
          <w:rFonts w:ascii="宋体" w:hAnsi="宋体"/>
          <w:sz w:val="24"/>
        </w:rPr>
      </w:pPr>
      <w:r>
        <w:rPr>
          <w:rFonts w:hint="eastAsia" w:ascii="宋体" w:hAnsi="宋体"/>
          <w:sz w:val="24"/>
        </w:rPr>
        <w:t>贫困问题与精准扶贫、老龄化问题与综合养老、教育问题与教育改革、医疗卫生问题与医疗保险、农村公共物品需求与供给、农村社会治理、农村社会分层与流动、农村人居环境与公共服务。</w:t>
      </w:r>
    </w:p>
    <w:p w14:paraId="3B98721B">
      <w:pPr>
        <w:spacing w:line="360" w:lineRule="auto"/>
        <w:rPr>
          <w:rFonts w:hint="eastAsia" w:ascii="宋体" w:hAnsi="宋体"/>
          <w:sz w:val="24"/>
          <w:szCs w:val="24"/>
        </w:rPr>
      </w:pPr>
    </w:p>
    <w:p w14:paraId="14B4660F"/>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C42C3">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NmFlNTAyNTMyYWJjNWU1NTVmOWU2ZWRhZjVkMDEifQ=="/>
  </w:docVars>
  <w:rsids>
    <w:rsidRoot w:val="00172A27"/>
    <w:rsid w:val="00010E3D"/>
    <w:rsid w:val="0005306C"/>
    <w:rsid w:val="001C26D5"/>
    <w:rsid w:val="002134F3"/>
    <w:rsid w:val="002520EC"/>
    <w:rsid w:val="00296E14"/>
    <w:rsid w:val="00391CED"/>
    <w:rsid w:val="003D5A8B"/>
    <w:rsid w:val="003F1791"/>
    <w:rsid w:val="004855F5"/>
    <w:rsid w:val="004A48A7"/>
    <w:rsid w:val="00530EBC"/>
    <w:rsid w:val="005674B1"/>
    <w:rsid w:val="005B35B8"/>
    <w:rsid w:val="005C36CB"/>
    <w:rsid w:val="005D608F"/>
    <w:rsid w:val="005E2269"/>
    <w:rsid w:val="0061118C"/>
    <w:rsid w:val="00615D26"/>
    <w:rsid w:val="00633FC8"/>
    <w:rsid w:val="006D6A10"/>
    <w:rsid w:val="00725BB4"/>
    <w:rsid w:val="0077067C"/>
    <w:rsid w:val="008F57B7"/>
    <w:rsid w:val="009732A0"/>
    <w:rsid w:val="00984A27"/>
    <w:rsid w:val="00AB3E88"/>
    <w:rsid w:val="00B54232"/>
    <w:rsid w:val="00C2578F"/>
    <w:rsid w:val="00C26366"/>
    <w:rsid w:val="00CE381A"/>
    <w:rsid w:val="00D55B1E"/>
    <w:rsid w:val="00D83189"/>
    <w:rsid w:val="00D96477"/>
    <w:rsid w:val="00EF116C"/>
    <w:rsid w:val="00F54AF5"/>
    <w:rsid w:val="00F70488"/>
    <w:rsid w:val="0C617C65"/>
    <w:rsid w:val="0CC536AB"/>
    <w:rsid w:val="129B61D8"/>
    <w:rsid w:val="136D48AC"/>
    <w:rsid w:val="16A27D67"/>
    <w:rsid w:val="174848EB"/>
    <w:rsid w:val="1763100A"/>
    <w:rsid w:val="18541252"/>
    <w:rsid w:val="18C00C64"/>
    <w:rsid w:val="19FA3B25"/>
    <w:rsid w:val="1B850F5C"/>
    <w:rsid w:val="1D3D5068"/>
    <w:rsid w:val="20F47472"/>
    <w:rsid w:val="21E42A58"/>
    <w:rsid w:val="255D3B3D"/>
    <w:rsid w:val="2F2F703D"/>
    <w:rsid w:val="2F7C7FBE"/>
    <w:rsid w:val="2FA03B8C"/>
    <w:rsid w:val="30A66D7A"/>
    <w:rsid w:val="36046551"/>
    <w:rsid w:val="37F0607D"/>
    <w:rsid w:val="3DF94D62"/>
    <w:rsid w:val="4B1328B7"/>
    <w:rsid w:val="4E027BF4"/>
    <w:rsid w:val="4FF04044"/>
    <w:rsid w:val="533A26AB"/>
    <w:rsid w:val="53CF5AC9"/>
    <w:rsid w:val="55944A0F"/>
    <w:rsid w:val="56AF40CB"/>
    <w:rsid w:val="5F593708"/>
    <w:rsid w:val="61C743D6"/>
    <w:rsid w:val="637850BA"/>
    <w:rsid w:val="64EB2AB5"/>
    <w:rsid w:val="6CB95A5F"/>
    <w:rsid w:val="6D41420B"/>
    <w:rsid w:val="6E604605"/>
    <w:rsid w:val="74500B07"/>
    <w:rsid w:val="781C50E7"/>
    <w:rsid w:val="7AE55812"/>
    <w:rsid w:val="7ED303DF"/>
    <w:rsid w:val="7F107C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character" w:default="1" w:styleId="14">
    <w:name w:val="Default Paragraph Font"/>
    <w:unhideWhenUsed/>
    <w:uiPriority w:val="1"/>
  </w:style>
  <w:style w:type="table" w:default="1" w:styleId="13">
    <w:name w:val="Normal Table"/>
    <w:unhideWhenUsed/>
    <w:uiPriority w:val="99"/>
    <w:tblPr>
      <w:tblStyle w:val="13"/>
      <w:tblCellMar>
        <w:top w:w="0" w:type="dxa"/>
        <w:left w:w="108" w:type="dxa"/>
        <w:bottom w:w="0" w:type="dxa"/>
        <w:right w:w="108" w:type="dxa"/>
      </w:tblCellMar>
    </w:tblPr>
  </w:style>
  <w:style w:type="paragraph" w:styleId="3">
    <w:name w:val="annotation text"/>
    <w:basedOn w:val="1"/>
    <w:link w:val="18"/>
    <w:unhideWhenUsed/>
    <w:uiPriority w:val="99"/>
    <w:pPr>
      <w:jc w:val="left"/>
    </w:pPr>
  </w:style>
  <w:style w:type="paragraph" w:styleId="4">
    <w:name w:val="Body Text Indent"/>
    <w:basedOn w:val="1"/>
    <w:link w:val="19"/>
    <w:uiPriority w:val="0"/>
    <w:pPr>
      <w:widowControl/>
      <w:spacing w:after="156" w:afterLines="50" w:line="320" w:lineRule="exact"/>
      <w:ind w:firstLine="480" w:firstLineChars="200"/>
      <w:jc w:val="left"/>
    </w:pPr>
    <w:rPr>
      <w:rFonts w:ascii="楷体_GB2312" w:hAnsi="Calibri" w:eastAsia="楷体_GB2312"/>
      <w:sz w:val="24"/>
      <w:szCs w:val="24"/>
    </w:rPr>
  </w:style>
  <w:style w:type="paragraph" w:styleId="5">
    <w:name w:val="toc 3"/>
    <w:basedOn w:val="1"/>
    <w:next w:val="1"/>
    <w:unhideWhenUsed/>
    <w:uiPriority w:val="39"/>
    <w:pPr>
      <w:widowControl/>
      <w:spacing w:after="100" w:line="259" w:lineRule="auto"/>
      <w:ind w:left="440"/>
      <w:jc w:val="left"/>
    </w:pPr>
    <w:rPr>
      <w:rFonts w:ascii="等线" w:hAnsi="等线" w:eastAsia="等线"/>
      <w:kern w:val="0"/>
      <w:sz w:val="22"/>
    </w:rPr>
  </w:style>
  <w:style w:type="paragraph" w:styleId="6">
    <w:name w:val="Balloon Text"/>
    <w:basedOn w:val="1"/>
    <w:link w:val="20"/>
    <w:unhideWhenUsed/>
    <w:uiPriority w:val="99"/>
    <w:rPr>
      <w:sz w:val="18"/>
      <w:szCs w:val="18"/>
    </w:rPr>
  </w:style>
  <w:style w:type="paragraph" w:styleId="7">
    <w:name w:val="footer"/>
    <w:basedOn w:val="1"/>
    <w:link w:val="21"/>
    <w:unhideWhenUsed/>
    <w:uiPriority w:val="99"/>
    <w:pPr>
      <w:tabs>
        <w:tab w:val="center" w:pos="4153"/>
        <w:tab w:val="right" w:pos="8306"/>
      </w:tabs>
      <w:snapToGrid w:val="0"/>
      <w:jc w:val="left"/>
    </w:pPr>
    <w:rPr>
      <w:sz w:val="18"/>
      <w:szCs w:val="18"/>
    </w:rPr>
  </w:style>
  <w:style w:type="paragraph" w:styleId="8">
    <w:name w:val="header"/>
    <w:basedOn w:val="1"/>
    <w:link w:val="22"/>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uiPriority w:val="39"/>
    <w:rPr>
      <w:rFonts w:ascii="Calibri" w:hAnsi="Calibri"/>
    </w:rPr>
  </w:style>
  <w:style w:type="paragraph" w:styleId="10">
    <w:name w:val="toc 2"/>
    <w:basedOn w:val="1"/>
    <w:next w:val="1"/>
    <w:unhideWhenUsed/>
    <w:uiPriority w:val="39"/>
    <w:pPr>
      <w:widowControl/>
      <w:ind w:left="420" w:leftChars="200"/>
      <w:jc w:val="left"/>
    </w:pPr>
    <w:rPr>
      <w:rFonts w:ascii="Calibri" w:hAnsi="Calibri"/>
      <w:kern w:val="0"/>
      <w:sz w:val="20"/>
      <w:szCs w:val="20"/>
    </w:rPr>
  </w:style>
  <w:style w:type="paragraph" w:styleId="11">
    <w:name w:val="Normal (Web)"/>
    <w:basedOn w:val="1"/>
    <w:uiPriority w:val="0"/>
    <w:pPr>
      <w:widowControl/>
      <w:spacing w:before="100" w:beforeAutospacing="1" w:after="100" w:afterAutospacing="1"/>
      <w:jc w:val="left"/>
    </w:pPr>
    <w:rPr>
      <w:rFonts w:ascii="宋体" w:hAnsi="宋体" w:cs="宋体"/>
      <w:kern w:val="0"/>
      <w:sz w:val="24"/>
      <w:szCs w:val="20"/>
    </w:rPr>
  </w:style>
  <w:style w:type="paragraph" w:styleId="12">
    <w:name w:val="annotation subject"/>
    <w:basedOn w:val="3"/>
    <w:next w:val="3"/>
    <w:link w:val="23"/>
    <w:unhideWhenUsed/>
    <w:uiPriority w:val="99"/>
    <w:rPr>
      <w:b/>
      <w:bCs/>
    </w:rPr>
  </w:style>
  <w:style w:type="character" w:styleId="15">
    <w:name w:val="Hyperlink"/>
    <w:unhideWhenUsed/>
    <w:uiPriority w:val="99"/>
    <w:rPr>
      <w:color w:val="0563C1"/>
      <w:u w:val="single"/>
    </w:rPr>
  </w:style>
  <w:style w:type="character" w:styleId="16">
    <w:name w:val="annotation reference"/>
    <w:unhideWhenUsed/>
    <w:uiPriority w:val="99"/>
    <w:rPr>
      <w:sz w:val="21"/>
      <w:szCs w:val="21"/>
    </w:rPr>
  </w:style>
  <w:style w:type="character" w:customStyle="1" w:styleId="17">
    <w:name w:val="标题 1 字符"/>
    <w:link w:val="2"/>
    <w:uiPriority w:val="9"/>
    <w:rPr>
      <w:b/>
      <w:bCs/>
      <w:kern w:val="44"/>
      <w:sz w:val="44"/>
      <w:szCs w:val="44"/>
    </w:rPr>
  </w:style>
  <w:style w:type="character" w:customStyle="1" w:styleId="18">
    <w:name w:val="批注文字 字符"/>
    <w:link w:val="3"/>
    <w:uiPriority w:val="99"/>
    <w:rPr>
      <w:kern w:val="2"/>
      <w:sz w:val="21"/>
      <w:szCs w:val="22"/>
    </w:rPr>
  </w:style>
  <w:style w:type="character" w:customStyle="1" w:styleId="19">
    <w:name w:val="正文文本缩进 字符"/>
    <w:link w:val="4"/>
    <w:uiPriority w:val="0"/>
    <w:rPr>
      <w:rFonts w:ascii="楷体_GB2312" w:hAnsi="Calibri" w:eastAsia="楷体_GB2312"/>
      <w:kern w:val="2"/>
      <w:sz w:val="24"/>
      <w:szCs w:val="24"/>
    </w:rPr>
  </w:style>
  <w:style w:type="character" w:customStyle="1" w:styleId="20">
    <w:name w:val="批注框文本 字符"/>
    <w:link w:val="6"/>
    <w:semiHidden/>
    <w:uiPriority w:val="99"/>
    <w:rPr>
      <w:kern w:val="2"/>
      <w:sz w:val="18"/>
      <w:szCs w:val="18"/>
    </w:rPr>
  </w:style>
  <w:style w:type="character" w:customStyle="1" w:styleId="21">
    <w:name w:val="页脚 字符"/>
    <w:link w:val="7"/>
    <w:semiHidden/>
    <w:uiPriority w:val="99"/>
    <w:rPr>
      <w:sz w:val="18"/>
      <w:szCs w:val="18"/>
    </w:rPr>
  </w:style>
  <w:style w:type="character" w:customStyle="1" w:styleId="22">
    <w:name w:val="页眉 字符"/>
    <w:link w:val="8"/>
    <w:semiHidden/>
    <w:uiPriority w:val="99"/>
    <w:rPr>
      <w:sz w:val="18"/>
      <w:szCs w:val="18"/>
    </w:rPr>
  </w:style>
  <w:style w:type="character" w:customStyle="1" w:styleId="23">
    <w:name w:val="批注主题 字符"/>
    <w:link w:val="12"/>
    <w:semiHidden/>
    <w:uiPriority w:val="99"/>
    <w:rPr>
      <w:b/>
      <w:bCs/>
      <w:kern w:val="2"/>
      <w:sz w:val="21"/>
      <w:szCs w:val="22"/>
    </w:rPr>
  </w:style>
  <w:style w:type="paragraph" w:styleId="24">
    <w:name w:val=""/>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1507</Words>
  <Characters>1528</Characters>
  <Lines>103</Lines>
  <Paragraphs>29</Paragraphs>
  <TotalTime>0</TotalTime>
  <ScaleCrop>false</ScaleCrop>
  <LinksUpToDate>false</LinksUpToDate>
  <CharactersWithSpaces>1545</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2026-06-30T14:05:38Z</dcterms:modified>
  <dc:title>附件7：</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174895B4A84D40F6AD261CAE8E173D12_13</vt:lpwstr>
  </property>
  <property fmtid="{D5CDD505-2E9C-101B-9397-08002B2CF9AE}" pid="4" name="KSOTemplateDocerSaveRecord">
    <vt:lpwstr>eyJoZGlkIjoiNDIyNzEzY2QzMzA3OWEzMGQ3MzE1ZDllOWZjYjI1N2QiLCJ1c2VySWQiOiIyMDQwMTE2ODcifQ==</vt:lpwstr>
  </property>
</Properties>
</file>