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0AAA3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12049837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819 信号与系统综合</w:t>
      </w:r>
    </w:p>
    <w:p w14:paraId="7B83D47D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6" w:name="_GoBack"/>
      <w:bookmarkEnd w:id="6"/>
    </w:p>
    <w:bookmarkEnd w:id="0"/>
    <w:p w14:paraId="550F0EA1">
      <w:pPr>
        <w:spacing w:line="360" w:lineRule="auto"/>
        <w:rPr>
          <w:rFonts w:ascii="宋体" w:hAnsi="宋体"/>
          <w:b/>
          <w:sz w:val="28"/>
          <w:szCs w:val="28"/>
        </w:rPr>
      </w:pPr>
      <w:bookmarkStart w:id="1" w:name="_Toc11031"/>
      <w:bookmarkStart w:id="2" w:name="_Toc32058"/>
      <w:bookmarkStart w:id="3" w:name="_Toc27190"/>
      <w:bookmarkStart w:id="4" w:name="_Toc3825"/>
      <w:bookmarkStart w:id="5" w:name="_Toc112049840"/>
      <w:r>
        <w:rPr>
          <w:rFonts w:hint="eastAsia" w:ascii="宋体" w:hAnsi="宋体"/>
          <w:b/>
          <w:sz w:val="28"/>
          <w:szCs w:val="28"/>
        </w:rPr>
        <w:t>一、</w:t>
      </w:r>
      <w:r>
        <w:rPr>
          <w:rFonts w:ascii="宋体" w:hAnsi="宋体"/>
          <w:b/>
          <w:sz w:val="28"/>
          <w:szCs w:val="28"/>
        </w:rPr>
        <w:t>考试性质</w:t>
      </w:r>
    </w:p>
    <w:p w14:paraId="0817E1B5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《信号与系统综合》包含了《信号与系统》、《数字信号处理》两门课程的内容，是</w:t>
      </w:r>
      <w:r>
        <w:rPr>
          <w:rFonts w:hint="eastAsia" w:ascii="宋体" w:hAnsi="宋体" w:cs="宋体"/>
          <w:sz w:val="24"/>
        </w:rPr>
        <w:t>中国海洋大学信息科学与工程学部信息与通信工</w:t>
      </w:r>
      <w:r>
        <w:rPr>
          <w:rFonts w:hint="default" w:ascii="Times New Roman" w:hAnsi="Times New Roman" w:cs="Times New Roman"/>
          <w:sz w:val="24"/>
        </w:rPr>
        <w:t>程</w:t>
      </w:r>
      <w:r>
        <w:rPr>
          <w:rFonts w:hint="default" w:ascii="Times New Roman" w:hAnsi="Times New Roman" w:cs="Times New Roman"/>
          <w:sz w:val="24"/>
          <w:lang w:val="en-US" w:eastAsia="zh-CN"/>
        </w:rPr>
        <w:t>专业</w:t>
      </w:r>
      <w:r>
        <w:rPr>
          <w:rFonts w:hint="default" w:ascii="Times New Roman" w:hAnsi="Times New Roman" w:cs="Times New Roman"/>
          <w:sz w:val="24"/>
        </w:rPr>
        <w:t>（0810</w:t>
      </w:r>
      <w:r>
        <w:rPr>
          <w:rFonts w:hint="default" w:ascii="Times New Roman" w:hAnsi="Times New Roman" w:cs="Times New Roman"/>
          <w:sz w:val="24"/>
          <w:lang w:val="en-US" w:eastAsia="zh-CN"/>
        </w:rPr>
        <w:t>00</w:t>
      </w:r>
      <w:r>
        <w:rPr>
          <w:rFonts w:hint="default" w:ascii="Times New Roman" w:hAnsi="Times New Roman" w:cs="Times New Roman"/>
          <w:sz w:val="24"/>
        </w:rPr>
        <w:t>）、电子信息</w:t>
      </w:r>
      <w:r>
        <w:rPr>
          <w:rFonts w:hint="default" w:ascii="Times New Roman" w:hAnsi="Times New Roman" w:cs="Times New Roman"/>
          <w:sz w:val="24"/>
          <w:lang w:val="en-US" w:eastAsia="zh-CN"/>
        </w:rPr>
        <w:t>类别</w:t>
      </w:r>
      <w:r>
        <w:rPr>
          <w:rFonts w:hint="default" w:ascii="Times New Roman" w:hAnsi="Times New Roman" w:cs="Times New Roman"/>
          <w:sz w:val="24"/>
        </w:rPr>
        <w:t>新一代电子信息技术（含量子技术等）</w:t>
      </w:r>
      <w:r>
        <w:rPr>
          <w:rFonts w:hint="default" w:ascii="Times New Roman" w:hAnsi="Times New Roman" w:cs="Times New Roman"/>
          <w:sz w:val="24"/>
          <w:lang w:val="en-US" w:eastAsia="zh-CN"/>
        </w:rPr>
        <w:t>专业</w:t>
      </w:r>
      <w:r>
        <w:rPr>
          <w:rFonts w:hint="default" w:ascii="Times New Roman" w:hAnsi="Times New Roman" w:cs="Times New Roman"/>
          <w:sz w:val="24"/>
        </w:rPr>
        <w:t>（085401）</w:t>
      </w:r>
      <w:r>
        <w:rPr>
          <w:rFonts w:hint="default" w:ascii="Times New Roman" w:hAnsi="Times New Roman" w:cs="Times New Roman"/>
          <w:sz w:val="24"/>
          <w:lang w:eastAsia="zh-CN"/>
        </w:rPr>
        <w:t>【</w:t>
      </w:r>
      <w:r>
        <w:rPr>
          <w:rFonts w:hint="default" w:ascii="Times New Roman" w:hAnsi="Times New Roman" w:cs="Times New Roman"/>
          <w:sz w:val="24"/>
          <w:lang w:val="en-US" w:eastAsia="zh-CN"/>
        </w:rPr>
        <w:t>01</w:t>
      </w:r>
      <w:r>
        <w:rPr>
          <w:rFonts w:hint="default" w:ascii="Times New Roman" w:hAnsi="Times New Roman" w:cs="Times New Roman"/>
          <w:sz w:val="24"/>
        </w:rPr>
        <w:t>新一代电子信息技术</w:t>
      </w:r>
      <w:r>
        <w:rPr>
          <w:rFonts w:hint="default" w:ascii="Times New Roman" w:hAnsi="Times New Roman" w:cs="Times New Roman"/>
          <w:sz w:val="24"/>
          <w:lang w:eastAsia="zh-CN"/>
        </w:rPr>
        <w:t>、02新一代电子信息技术（中法双硕士）、03新一代电子信息技术（三亚）】</w:t>
      </w:r>
      <w:r>
        <w:rPr>
          <w:rFonts w:hint="default" w:ascii="Times New Roman" w:hAnsi="Times New Roman" w:cs="Times New Roman"/>
          <w:sz w:val="24"/>
        </w:rPr>
        <w:t>、通信工程（含宽带网络、移动通信等）</w:t>
      </w:r>
      <w:r>
        <w:rPr>
          <w:rFonts w:hint="default" w:ascii="Times New Roman" w:hAnsi="Times New Roman" w:cs="Times New Roman"/>
          <w:sz w:val="24"/>
          <w:lang w:val="en-US" w:eastAsia="zh-CN"/>
        </w:rPr>
        <w:t>专业</w:t>
      </w:r>
      <w:r>
        <w:rPr>
          <w:rFonts w:hint="default" w:ascii="Times New Roman" w:hAnsi="Times New Roman" w:cs="Times New Roman"/>
          <w:sz w:val="24"/>
        </w:rPr>
        <w:t>（085402）</w:t>
      </w:r>
      <w:r>
        <w:rPr>
          <w:rFonts w:hint="eastAsia" w:ascii="宋体" w:hAnsi="宋体"/>
          <w:sz w:val="24"/>
        </w:rPr>
        <w:t>硕士研究生招生考试</w:t>
      </w:r>
      <w:r>
        <w:rPr>
          <w:rFonts w:hint="eastAsia" w:ascii="宋体" w:hAnsi="宋体" w:cs="宋体"/>
          <w:kern w:val="0"/>
          <w:sz w:val="24"/>
          <w:szCs w:val="20"/>
        </w:rPr>
        <w:t>初试笔试科目。</w:t>
      </w:r>
      <w:r>
        <w:rPr>
          <w:rFonts w:hint="eastAsia" w:ascii="宋体" w:hAnsi="宋体"/>
          <w:sz w:val="24"/>
        </w:rPr>
        <w:t>它的出题和评价标准是相关专业优秀本科毕业生能达到的水平，以保证被录取者具有较好的信号处理与分析基础。</w:t>
      </w:r>
    </w:p>
    <w:p w14:paraId="6AFB57CE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二、考查目标</w:t>
      </w:r>
    </w:p>
    <w:p w14:paraId="49BC12DB">
      <w:pPr>
        <w:spacing w:line="360" w:lineRule="auto"/>
        <w:ind w:firstLine="513" w:firstLineChars="214"/>
        <w:rPr>
          <w:rFonts w:ascii="宋体" w:hAnsi="宋体" w:cs="宋体"/>
          <w:kern w:val="0"/>
          <w:sz w:val="24"/>
          <w:szCs w:val="20"/>
          <w:lang w:val="zh-CN"/>
        </w:rPr>
      </w:pPr>
      <w:r>
        <w:rPr>
          <w:rFonts w:hint="eastAsia" w:ascii="宋体" w:hAnsi="宋体"/>
          <w:sz w:val="24"/>
        </w:rPr>
        <w:t>要求考生系统地掌握信号与系统的基本概念和基本原理，能够熟练的运用上述理论对于信号、系统进行时间域和频率域分析和求解，掌握数字信号处理的实现技术，尤其应注重综合应用的能力。</w:t>
      </w:r>
      <w:r>
        <w:rPr>
          <w:rFonts w:hint="eastAsia" w:ascii="宋体" w:hAnsi="宋体" w:cs="宋体"/>
          <w:kern w:val="0"/>
          <w:sz w:val="24"/>
          <w:szCs w:val="20"/>
          <w:lang w:val="zh-CN"/>
        </w:rPr>
        <w:t xml:space="preserve"> </w:t>
      </w:r>
    </w:p>
    <w:p w14:paraId="166670DC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三、考试形式</w:t>
      </w:r>
    </w:p>
    <w:p w14:paraId="12400E67">
      <w:pPr>
        <w:widowControl/>
        <w:spacing w:line="360" w:lineRule="auto"/>
        <w:ind w:firstLine="480" w:firstLineChars="200"/>
        <w:rPr>
          <w:rFonts w:hint="eastAsia" w:ascii="宋体" w:hAnsi="宋体"/>
          <w:kern w:val="0"/>
          <w:sz w:val="24"/>
          <w:szCs w:val="20"/>
        </w:rPr>
      </w:pPr>
      <w:r>
        <w:rPr>
          <w:rFonts w:hint="eastAsia" w:ascii="宋体" w:hAnsi="宋体"/>
          <w:kern w:val="0"/>
          <w:sz w:val="24"/>
          <w:szCs w:val="20"/>
        </w:rPr>
        <w:t>本考试为闭卷考试，满分为150分，考试时间为180分钟。</w:t>
      </w:r>
    </w:p>
    <w:p w14:paraId="7128B5F4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b/>
          <w:sz w:val="28"/>
          <w:szCs w:val="28"/>
        </w:rPr>
        <w:t>四、</w:t>
      </w:r>
      <w:r>
        <w:rPr>
          <w:rFonts w:ascii="宋体" w:hAnsi="宋体"/>
          <w:b/>
          <w:sz w:val="28"/>
          <w:szCs w:val="28"/>
        </w:rPr>
        <w:t>考试内容</w:t>
      </w:r>
      <w:r>
        <w:rPr>
          <w:rFonts w:hint="eastAsia" w:ascii="宋体" w:hAnsi="宋体"/>
          <w:b/>
          <w:sz w:val="28"/>
          <w:szCs w:val="28"/>
        </w:rPr>
        <w:t xml:space="preserve"> </w:t>
      </w:r>
    </w:p>
    <w:p w14:paraId="4A5D5684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（1）信号和系统的基本性质</w:t>
      </w:r>
    </w:p>
    <w:p w14:paraId="7662AF6B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信号的能量、功率及周期性等性质，系统的线性、时不变、因果、稳定等基本性质。</w:t>
      </w:r>
    </w:p>
    <w:p w14:paraId="477D1782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（2）线性时不变系统的时域求解</w:t>
      </w:r>
    </w:p>
    <w:p w14:paraId="4B4CDFDF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冲激函数的性质，连续和离散线性时不变系统的冲激响应，零输入响应和零状态响应，卷积积分、线性卷积及其性质，系统的微分方程和差分方程描述方法。</w:t>
      </w:r>
    </w:p>
    <w:p w14:paraId="60175797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（3）连续和离散信号的傅里叶级数与傅里叶变换</w:t>
      </w:r>
    </w:p>
    <w:p w14:paraId="7104178F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连续和离散周期信号傅里叶级数表示及其性质，连续和离散周期信号傅里叶变换,连续和离散非周期信号的傅里叶变换及其性质。</w:t>
      </w:r>
    </w:p>
    <w:p w14:paraId="1723BBF8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（4）信号和系统的频域分析</w:t>
      </w:r>
    </w:p>
    <w:p w14:paraId="133FE44C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连续和离散系统的频率响应及表示方法，波特图，线性时不变系统的频域分析。采样定理，连续和离散信号的采样及重建。调制解调，正弦、复指数幅度调制，频分多路复用，单边带正弦调制等。</w:t>
      </w:r>
    </w:p>
    <w:p w14:paraId="101848AB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（5）拉普拉斯变换和连续系统的复频域分析</w:t>
      </w:r>
    </w:p>
    <w:p w14:paraId="1AE87D2A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拉普拉斯变换及收敛域和性质，基于拉普拉斯变换的线性时不变系统的分析与表征，系统函数的代数和框图表示。单边拉普拉斯变换和基于单边拉普拉斯变换的系统复频域分析（拉普拉斯变换解）, 零输入响应、零状态响应、自由响应、受迫响应、瞬态响应、稳态响应。电路系统的S域模型，系统模拟与信号流图。</w:t>
      </w:r>
    </w:p>
    <w:p w14:paraId="1D33980A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（6）</w:t>
      </w:r>
      <w:r>
        <w:rPr>
          <w:rFonts w:ascii="宋体" w:hAnsi="宋体"/>
          <w:sz w:val="24"/>
        </w:rPr>
        <w:t>Z</w:t>
      </w:r>
      <w:r>
        <w:rPr>
          <w:rFonts w:hint="eastAsia" w:ascii="宋体" w:hAnsi="宋体"/>
          <w:sz w:val="24"/>
        </w:rPr>
        <w:t>变换和离散系统的复频域分析</w:t>
      </w:r>
    </w:p>
    <w:p w14:paraId="43FD5E8F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Z</w:t>
      </w:r>
      <w:r>
        <w:rPr>
          <w:rFonts w:hint="eastAsia" w:ascii="宋体" w:hAnsi="宋体"/>
          <w:sz w:val="24"/>
        </w:rPr>
        <w:t>变换及收敛域，</w:t>
      </w:r>
      <w:r>
        <w:rPr>
          <w:rFonts w:ascii="宋体" w:hAnsi="宋体"/>
          <w:sz w:val="24"/>
        </w:rPr>
        <w:t>Z</w:t>
      </w:r>
      <w:r>
        <w:rPr>
          <w:rFonts w:hint="eastAsia" w:ascii="宋体" w:hAnsi="宋体"/>
          <w:sz w:val="24"/>
        </w:rPr>
        <w:t>变换的性质，基于</w:t>
      </w:r>
      <w:r>
        <w:rPr>
          <w:rFonts w:ascii="宋体" w:hAnsi="宋体"/>
          <w:sz w:val="24"/>
        </w:rPr>
        <w:t>Z</w:t>
      </w:r>
      <w:r>
        <w:rPr>
          <w:rFonts w:hint="eastAsia" w:ascii="宋体" w:hAnsi="宋体"/>
          <w:sz w:val="24"/>
        </w:rPr>
        <w:t>变换的线性时不变系统的分析与表征，系统函数的代数和框图表示。单边</w:t>
      </w:r>
      <w:r>
        <w:rPr>
          <w:rFonts w:ascii="宋体" w:hAnsi="宋体"/>
          <w:sz w:val="24"/>
        </w:rPr>
        <w:t>Z</w:t>
      </w:r>
      <w:r>
        <w:rPr>
          <w:rFonts w:hint="eastAsia" w:ascii="宋体" w:hAnsi="宋体"/>
          <w:sz w:val="24"/>
        </w:rPr>
        <w:t>变换和基于单边</w:t>
      </w:r>
      <w:r>
        <w:rPr>
          <w:rFonts w:ascii="宋体" w:hAnsi="宋体"/>
          <w:sz w:val="24"/>
        </w:rPr>
        <w:t>Z</w:t>
      </w:r>
      <w:r>
        <w:rPr>
          <w:rFonts w:hint="eastAsia" w:ascii="宋体" w:hAnsi="宋体"/>
          <w:sz w:val="24"/>
        </w:rPr>
        <w:t>变换的系统复频域分析（</w:t>
      </w:r>
      <w:r>
        <w:rPr>
          <w:rFonts w:ascii="宋体" w:hAnsi="宋体"/>
          <w:sz w:val="24"/>
        </w:rPr>
        <w:t>Z</w:t>
      </w:r>
      <w:r>
        <w:rPr>
          <w:rFonts w:hint="eastAsia" w:ascii="宋体" w:hAnsi="宋体"/>
          <w:sz w:val="24"/>
        </w:rPr>
        <w:t xml:space="preserve">变换解），零输入响应、零状态响应、自由响应、受迫响应、瞬态响应、稳态响应，离散系统的模拟与信号流图。 </w:t>
      </w:r>
    </w:p>
    <w:p w14:paraId="5A10B9B5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（7）连续与离散系统函数的零极点分析</w:t>
      </w:r>
    </w:p>
    <w:p w14:paraId="0380D50C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由零极点分布对傅里叶变换进行几何分析，全通系统、最小相位系统、稳定系统的零极点分布，系统零极点分布与系统频率响应的关系。</w:t>
      </w:r>
    </w:p>
    <w:p w14:paraId="39F18A32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（8）离散傅里叶变换及快速算法</w:t>
      </w:r>
    </w:p>
    <w:p w14:paraId="4AA9CAF2">
      <w:pPr>
        <w:spacing w:line="360" w:lineRule="auto"/>
        <w:ind w:firstLine="513" w:firstLineChars="214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离散傅里叶变换及性质，频域采样定理，离散傅里叶变换的应用，离散傅里叶变换快速算法原理、实现流程以及计算复杂度分析。</w:t>
      </w:r>
    </w:p>
    <w:p w14:paraId="4668F8C6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（9）数字滤波器的结构与设计</w:t>
      </w:r>
    </w:p>
    <w:p w14:paraId="3854E7E5">
      <w:pPr>
        <w:spacing w:line="360" w:lineRule="auto"/>
        <w:ind w:firstLine="513" w:firstLineChars="214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I</w:t>
      </w:r>
      <w:r>
        <w:rPr>
          <w:rFonts w:ascii="宋体" w:hAnsi="宋体"/>
          <w:sz w:val="24"/>
        </w:rPr>
        <w:t>IR</w:t>
      </w:r>
      <w:r>
        <w:rPr>
          <w:rFonts w:hint="eastAsia" w:ascii="宋体" w:hAnsi="宋体"/>
          <w:sz w:val="24"/>
        </w:rPr>
        <w:t>、F</w:t>
      </w:r>
      <w:r>
        <w:rPr>
          <w:rFonts w:ascii="宋体" w:hAnsi="宋体"/>
          <w:sz w:val="24"/>
        </w:rPr>
        <w:t>IR</w:t>
      </w:r>
      <w:r>
        <w:rPr>
          <w:rFonts w:hint="eastAsia" w:ascii="宋体" w:hAnsi="宋体"/>
          <w:sz w:val="24"/>
        </w:rPr>
        <w:t>数字滤波器的常用结构、滤波器实现误差分析以及结构分析，利用模拟滤波器设计I</w:t>
      </w:r>
      <w:r>
        <w:rPr>
          <w:rFonts w:ascii="宋体" w:hAnsi="宋体"/>
          <w:sz w:val="24"/>
        </w:rPr>
        <w:t>IR</w:t>
      </w:r>
      <w:r>
        <w:rPr>
          <w:rFonts w:hint="eastAsia" w:ascii="宋体" w:hAnsi="宋体"/>
          <w:sz w:val="24"/>
        </w:rPr>
        <w:t>数字滤波器，模拟滤波器设计、模拟滤波器数字化方法，线性时不变系统满足线性相位的条件以及线性相位系统时频域特点，利用窗函数法、频率采样法设计F</w:t>
      </w:r>
      <w:r>
        <w:rPr>
          <w:rFonts w:ascii="宋体" w:hAnsi="宋体"/>
          <w:sz w:val="24"/>
        </w:rPr>
        <w:t>IR</w:t>
      </w:r>
      <w:r>
        <w:rPr>
          <w:rFonts w:hint="eastAsia" w:ascii="宋体" w:hAnsi="宋体"/>
          <w:sz w:val="24"/>
        </w:rPr>
        <w:t>数字滤波器，I</w:t>
      </w:r>
      <w:r>
        <w:rPr>
          <w:rFonts w:ascii="宋体" w:hAnsi="宋体"/>
          <w:sz w:val="24"/>
        </w:rPr>
        <w:t>IR</w:t>
      </w:r>
      <w:r>
        <w:rPr>
          <w:rFonts w:hint="eastAsia" w:ascii="宋体" w:hAnsi="宋体"/>
          <w:sz w:val="24"/>
        </w:rPr>
        <w:t>与F</w:t>
      </w:r>
      <w:r>
        <w:rPr>
          <w:rFonts w:ascii="宋体" w:hAnsi="宋体"/>
          <w:sz w:val="24"/>
        </w:rPr>
        <w:t>IR</w:t>
      </w:r>
      <w:r>
        <w:rPr>
          <w:rFonts w:hint="eastAsia" w:ascii="宋体" w:hAnsi="宋体"/>
          <w:sz w:val="24"/>
        </w:rPr>
        <w:t>数字滤波器的对比分析。</w:t>
      </w:r>
    </w:p>
    <w:p w14:paraId="5AFA027C">
      <w:pPr>
        <w:pStyle w:val="3"/>
        <w:spacing w:before="0" w:after="0" w:line="240" w:lineRule="auto"/>
        <w:rPr>
          <w:rFonts w:ascii="Times New Roman" w:hAnsi="Times New Roman" w:eastAsia="黑体"/>
        </w:rPr>
      </w:pPr>
    </w:p>
    <w:bookmarkEnd w:id="1"/>
    <w:bookmarkEnd w:id="2"/>
    <w:bookmarkEnd w:id="3"/>
    <w:bookmarkEnd w:id="4"/>
    <w:bookmarkEnd w:id="5"/>
    <w:p w14:paraId="3ADA8B1C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05E84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0A64C9C9">
    <w:pPr>
      <w:pStyle w:val="6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07159"/>
    <w:rsid w:val="0005306C"/>
    <w:rsid w:val="00063586"/>
    <w:rsid w:val="000635D9"/>
    <w:rsid w:val="000B0B06"/>
    <w:rsid w:val="001E21BF"/>
    <w:rsid w:val="002163EA"/>
    <w:rsid w:val="003076F9"/>
    <w:rsid w:val="00331BB9"/>
    <w:rsid w:val="0035608A"/>
    <w:rsid w:val="00361826"/>
    <w:rsid w:val="003D5A8B"/>
    <w:rsid w:val="00530EBC"/>
    <w:rsid w:val="005D608F"/>
    <w:rsid w:val="005E2269"/>
    <w:rsid w:val="00705E67"/>
    <w:rsid w:val="00732091"/>
    <w:rsid w:val="0073308C"/>
    <w:rsid w:val="007565F4"/>
    <w:rsid w:val="00794D9D"/>
    <w:rsid w:val="008F57B7"/>
    <w:rsid w:val="00943301"/>
    <w:rsid w:val="00954AA8"/>
    <w:rsid w:val="009D3638"/>
    <w:rsid w:val="00D26068"/>
    <w:rsid w:val="00D33DDD"/>
    <w:rsid w:val="00D461B4"/>
    <w:rsid w:val="00E0234C"/>
    <w:rsid w:val="00F70488"/>
    <w:rsid w:val="021358C1"/>
    <w:rsid w:val="048A4F3F"/>
    <w:rsid w:val="074D36CF"/>
    <w:rsid w:val="0BF024F8"/>
    <w:rsid w:val="0C617C65"/>
    <w:rsid w:val="10E962C5"/>
    <w:rsid w:val="125475BE"/>
    <w:rsid w:val="129B61D8"/>
    <w:rsid w:val="136D48AC"/>
    <w:rsid w:val="155F2653"/>
    <w:rsid w:val="16A27D67"/>
    <w:rsid w:val="174848EB"/>
    <w:rsid w:val="18541252"/>
    <w:rsid w:val="19A10F6B"/>
    <w:rsid w:val="1B850F5C"/>
    <w:rsid w:val="20F47472"/>
    <w:rsid w:val="21E42A58"/>
    <w:rsid w:val="255D3B3D"/>
    <w:rsid w:val="2F2F703D"/>
    <w:rsid w:val="2F7C7FBE"/>
    <w:rsid w:val="2FA03B8C"/>
    <w:rsid w:val="36046551"/>
    <w:rsid w:val="37F0607D"/>
    <w:rsid w:val="3DF94D62"/>
    <w:rsid w:val="4284046F"/>
    <w:rsid w:val="4B1328B7"/>
    <w:rsid w:val="4E027BF4"/>
    <w:rsid w:val="533A26AB"/>
    <w:rsid w:val="53CF5AC9"/>
    <w:rsid w:val="547D6B2E"/>
    <w:rsid w:val="55944A0F"/>
    <w:rsid w:val="56AF40CB"/>
    <w:rsid w:val="59062D3D"/>
    <w:rsid w:val="5F593708"/>
    <w:rsid w:val="61C743D6"/>
    <w:rsid w:val="637850BA"/>
    <w:rsid w:val="64EB2AB5"/>
    <w:rsid w:val="6B4179FA"/>
    <w:rsid w:val="6CB95A5F"/>
    <w:rsid w:val="6D41420B"/>
    <w:rsid w:val="6E604605"/>
    <w:rsid w:val="72503EBB"/>
    <w:rsid w:val="74500B07"/>
    <w:rsid w:val="781C50E7"/>
    <w:rsid w:val="79ED124C"/>
    <w:rsid w:val="7A3572D4"/>
    <w:rsid w:val="7AC90DA6"/>
    <w:rsid w:val="7AE55812"/>
    <w:rsid w:val="7C8859C7"/>
    <w:rsid w:val="7E154112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unhideWhenUsed/>
    <w:uiPriority w:val="99"/>
    <w:pPr>
      <w:jc w:val="left"/>
    </w:pPr>
  </w:style>
  <w:style w:type="paragraph" w:styleId="5">
    <w:name w:val="Balloon Text"/>
    <w:basedOn w:val="1"/>
    <w:link w:val="19"/>
    <w:unhideWhenUsed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toc 2"/>
    <w:basedOn w:val="1"/>
    <w:next w:val="1"/>
    <w:unhideWhenUsed/>
    <w:uiPriority w:val="39"/>
    <w:pPr>
      <w:ind w:left="420" w:leftChars="200"/>
    </w:p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</w:rPr>
  </w:style>
  <w:style w:type="paragraph" w:styleId="11">
    <w:name w:val="annotation subject"/>
    <w:basedOn w:val="4"/>
    <w:next w:val="4"/>
    <w:link w:val="22"/>
    <w:unhideWhenUsed/>
    <w:uiPriority w:val="99"/>
    <w:rPr>
      <w:b/>
      <w:bCs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Hyperlink"/>
    <w:unhideWhenUsed/>
    <w:uiPriority w:val="99"/>
    <w:rPr>
      <w:color w:val="0563C1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character" w:customStyle="1" w:styleId="17">
    <w:name w:val="标题 2 字符"/>
    <w:link w:val="3"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4"/>
    <w:uiPriority w:val="99"/>
    <w:rPr>
      <w:kern w:val="2"/>
      <w:sz w:val="21"/>
      <w:szCs w:val="22"/>
    </w:rPr>
  </w:style>
  <w:style w:type="character" w:customStyle="1" w:styleId="19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20">
    <w:name w:val="页脚 字符"/>
    <w:link w:val="6"/>
    <w:uiPriority w:val="99"/>
    <w:rPr>
      <w:sz w:val="18"/>
      <w:szCs w:val="18"/>
    </w:rPr>
  </w:style>
  <w:style w:type="character" w:customStyle="1" w:styleId="21">
    <w:name w:val="页眉 字符"/>
    <w:link w:val="7"/>
    <w:semiHidden/>
    <w:uiPriority w:val="99"/>
    <w:rPr>
      <w:sz w:val="18"/>
      <w:szCs w:val="18"/>
    </w:rPr>
  </w:style>
  <w:style w:type="character" w:customStyle="1" w:styleId="22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paragraph" w:customStyle="1" w:styleId="23">
    <w:name w:val="_Style 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customStyle="1" w:styleId="24">
    <w:name w:val="大标题"/>
    <w:basedOn w:val="2"/>
    <w:qFormat/>
    <w:uiPriority w:val="0"/>
    <w:pPr>
      <w:outlineLvl w:val="1"/>
    </w:pPr>
    <w:rPr>
      <w:rFonts w:ascii="黑体" w:hAnsi="黑体" w:eastAsia="黑体" w:cs="黑体"/>
      <w:b w:val="0"/>
      <w:bCs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1271</Words>
  <Characters>1307</Characters>
  <Lines>147</Lines>
  <Paragraphs>41</Paragraphs>
  <TotalTime>3</TotalTime>
  <ScaleCrop>false</ScaleCrop>
  <LinksUpToDate>false</LinksUpToDate>
  <CharactersWithSpaces>1312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2026-07-01T00:43:25Z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C1AE67FDB7B1435C9D5AA4A86AFD1C72_13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