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6281B">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201760981"/>
      <w:bookmarkStart w:id="1" w:name="_Toc202521708"/>
      <w:r>
        <w:rPr>
          <w:rFonts w:hint="eastAsia" w:ascii="黑体" w:hAnsi="黑体" w:eastAsia="黑体" w:cs="黑体"/>
          <w:b w:val="0"/>
          <w:bCs w:val="0"/>
          <w:snapToGrid w:val="0"/>
          <w:color w:val="000000"/>
          <w:spacing w:val="1"/>
          <w:kern w:val="0"/>
          <w:sz w:val="32"/>
          <w:szCs w:val="32"/>
          <w:lang w:eastAsia="zh-CN"/>
        </w:rPr>
        <w:t xml:space="preserve">832 </w:t>
      </w:r>
      <w:bookmarkEnd w:id="0"/>
      <w:r>
        <w:rPr>
          <w:rFonts w:hint="eastAsia" w:ascii="黑体" w:hAnsi="黑体" w:eastAsia="黑体" w:cs="黑体"/>
          <w:b w:val="0"/>
          <w:bCs w:val="0"/>
          <w:snapToGrid w:val="0"/>
          <w:color w:val="000000"/>
          <w:spacing w:val="1"/>
          <w:kern w:val="0"/>
          <w:sz w:val="32"/>
          <w:szCs w:val="32"/>
          <w:lang w:eastAsia="zh-CN"/>
        </w:rPr>
        <w:t>船舶工程专业综合</w:t>
      </w:r>
      <w:bookmarkEnd w:id="1"/>
    </w:p>
    <w:p w14:paraId="3E914D27">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2" w:name="_GoBack"/>
      <w:bookmarkEnd w:id="2"/>
    </w:p>
    <w:p w14:paraId="389D61F6">
      <w:pPr>
        <w:spacing w:line="360" w:lineRule="auto"/>
        <w:rPr>
          <w:rFonts w:hint="eastAsia" w:ascii="宋体" w:hAnsi="宋体"/>
          <w:b/>
          <w:bCs/>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一、考试性质</w:t>
      </w:r>
    </w:p>
    <w:p w14:paraId="08C3DF28">
      <w:pPr>
        <w:spacing w:line="360" w:lineRule="auto"/>
        <w:ind w:firstLine="513" w:firstLineChars="214"/>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船舶工程专业综合</w:t>
      </w:r>
      <w:r>
        <w:rPr>
          <w:color w:val="000000" w:themeColor="text1"/>
          <w:sz w:val="24"/>
          <w14:textFill>
            <w14:solidFill>
              <w14:schemeClr w14:val="tx1"/>
            </w14:solidFill>
          </w14:textFill>
        </w:rPr>
        <w:t>》是</w:t>
      </w:r>
      <w:r>
        <w:rPr>
          <w:rFonts w:hint="eastAsia"/>
          <w:color w:val="000000" w:themeColor="text1"/>
          <w:sz w:val="24"/>
          <w14:textFill>
            <w14:solidFill>
              <w14:schemeClr w14:val="tx1"/>
            </w14:solidFill>
          </w14:textFill>
        </w:rPr>
        <w:t>船舶</w:t>
      </w:r>
      <w:r>
        <w:rPr>
          <w:color w:val="000000" w:themeColor="text1"/>
          <w:sz w:val="24"/>
          <w14:textFill>
            <w14:solidFill>
              <w14:schemeClr w14:val="tx1"/>
            </w14:solidFill>
          </w14:textFill>
        </w:rPr>
        <w:t>工程</w:t>
      </w:r>
      <w:r>
        <w:rPr>
          <w:rFonts w:hint="eastAsia"/>
          <w:color w:val="000000" w:themeColor="text1"/>
          <w:sz w:val="24"/>
          <w14:textFill>
            <w14:solidFill>
              <w14:schemeClr w14:val="tx1"/>
            </w14:solidFill>
          </w14:textFill>
        </w:rPr>
        <w:t>（轮机工程方向）</w:t>
      </w:r>
      <w:r>
        <w:rPr>
          <w:color w:val="000000" w:themeColor="text1"/>
          <w:sz w:val="24"/>
          <w14:textFill>
            <w14:solidFill>
              <w14:schemeClr w14:val="tx1"/>
            </w14:solidFill>
          </w14:textFill>
        </w:rPr>
        <w:t>专业</w:t>
      </w:r>
      <w:r>
        <w:rPr>
          <w:rFonts w:hint="eastAsia"/>
          <w:color w:val="000000" w:themeColor="text1"/>
          <w:sz w:val="24"/>
          <w14:textFill>
            <w14:solidFill>
              <w14:schemeClr w14:val="tx1"/>
            </w14:solidFill>
          </w14:textFill>
        </w:rPr>
        <w:t>学位</w:t>
      </w:r>
      <w:r>
        <w:rPr>
          <w:color w:val="000000" w:themeColor="text1"/>
          <w:sz w:val="24"/>
          <w14:textFill>
            <w14:solidFill>
              <w14:schemeClr w14:val="tx1"/>
            </w14:solidFill>
          </w14:textFill>
        </w:rPr>
        <w:t>硕士研究生</w:t>
      </w:r>
      <w:r>
        <w:rPr>
          <w:rFonts w:hint="eastAsia"/>
          <w:color w:val="000000" w:themeColor="text1"/>
          <w:sz w:val="24"/>
          <w14:textFill>
            <w14:solidFill>
              <w14:schemeClr w14:val="tx1"/>
            </w14:solidFill>
          </w14:textFill>
        </w:rPr>
        <w:t>招生考试</w:t>
      </w:r>
      <w:r>
        <w:rPr>
          <w:color w:val="000000" w:themeColor="text1"/>
          <w:sz w:val="24"/>
          <w14:textFill>
            <w14:solidFill>
              <w14:schemeClr w14:val="tx1"/>
            </w14:solidFill>
          </w14:textFill>
        </w:rPr>
        <w:t>的专业</w:t>
      </w:r>
      <w:r>
        <w:rPr>
          <w:rFonts w:hint="eastAsia"/>
          <w:color w:val="000000" w:themeColor="text1"/>
          <w:sz w:val="24"/>
          <w14:textFill>
            <w14:solidFill>
              <w14:schemeClr w14:val="tx1"/>
            </w14:solidFill>
          </w14:textFill>
        </w:rPr>
        <w:t>理论课程</w:t>
      </w:r>
      <w:r>
        <w:rPr>
          <w:color w:val="000000" w:themeColor="text1"/>
          <w:sz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作为选拔性考试，具有较高的信度、效度、必要的区分度和适当的难</w:t>
      </w:r>
      <w:r>
        <w:rPr>
          <w:rFonts w:hint="eastAsia"/>
          <w:color w:val="000000" w:themeColor="text1"/>
          <w:sz w:val="24"/>
          <w14:textFill>
            <w14:solidFill>
              <w14:schemeClr w14:val="tx1"/>
            </w14:solidFill>
          </w14:textFill>
        </w:rPr>
        <w:t>度。</w:t>
      </w:r>
    </w:p>
    <w:p w14:paraId="5D54AB44">
      <w:pPr>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二、考查目标</w:t>
      </w:r>
    </w:p>
    <w:p w14:paraId="143B3037">
      <w:pPr>
        <w:pStyle w:val="37"/>
        <w:shd w:val="clear" w:color="auto" w:fill="FFFFFF"/>
        <w:spacing w:before="0" w:beforeAutospacing="0" w:after="0" w:afterAutospacing="0" w:line="360" w:lineRule="auto"/>
        <w:ind w:firstLine="480" w:firstLineChars="200"/>
        <w:jc w:val="both"/>
        <w:rPr>
          <w:rFonts w:ascii="Times New Roman" w:hAnsi="Times New Roman" w:cs="Times New Roman"/>
          <w:color w:val="000000" w:themeColor="text1"/>
          <w:kern w:val="2"/>
          <w:szCs w:val="22"/>
          <w14:textFill>
            <w14:solidFill>
              <w14:schemeClr w14:val="tx1"/>
            </w14:solidFill>
          </w14:textFill>
        </w:rPr>
      </w:pPr>
      <w:r>
        <w:rPr>
          <w:rFonts w:hint="eastAsia" w:ascii="Times New Roman" w:hAnsi="Times New Roman" w:cs="Times New Roman"/>
          <w:color w:val="000000" w:themeColor="text1"/>
          <w:kern w:val="2"/>
          <w:szCs w:val="22"/>
          <w14:textFill>
            <w14:solidFill>
              <w14:schemeClr w14:val="tx1"/>
            </w14:solidFill>
          </w14:textFill>
        </w:rPr>
        <w:t>（一）</w:t>
      </w:r>
      <w:r>
        <w:rPr>
          <w:rFonts w:ascii="Times New Roman" w:hAnsi="Times New Roman" w:cs="Times New Roman"/>
          <w:color w:val="000000" w:themeColor="text1"/>
          <w:kern w:val="2"/>
          <w:szCs w:val="22"/>
          <w14:textFill>
            <w14:solidFill>
              <w14:schemeClr w14:val="tx1"/>
            </w14:solidFill>
          </w14:textFill>
        </w:rPr>
        <w:t>要求考生能</w:t>
      </w:r>
      <w:r>
        <w:rPr>
          <w:rFonts w:hint="eastAsia" w:ascii="Times New Roman" w:hAnsi="Times New Roman" w:cs="Times New Roman"/>
          <w:color w:val="000000" w:themeColor="text1"/>
          <w:kern w:val="2"/>
          <w:szCs w:val="22"/>
          <w14:textFill>
            <w14:solidFill>
              <w14:schemeClr w14:val="tx1"/>
            </w14:solidFill>
          </w14:textFill>
        </w:rPr>
        <w:t>掌握流体平衡、运动、能量转换的一般规律和基本理论，具备</w:t>
      </w:r>
      <w:r>
        <w:rPr>
          <w:rFonts w:ascii="Times New Roman" w:hAnsi="Times New Roman" w:cs="Times New Roman"/>
          <w:color w:val="000000" w:themeColor="text1"/>
          <w:kern w:val="2"/>
          <w:szCs w:val="22"/>
          <w14:textFill>
            <w14:solidFill>
              <w14:schemeClr w14:val="tx1"/>
            </w14:solidFill>
          </w14:textFill>
        </w:rPr>
        <w:t>运用</w:t>
      </w:r>
      <w:r>
        <w:rPr>
          <w:rFonts w:hint="eastAsia" w:ascii="Times New Roman" w:hAnsi="Times New Roman" w:cs="Times New Roman"/>
          <w:color w:val="000000" w:themeColor="text1"/>
          <w:kern w:val="2"/>
          <w:szCs w:val="22"/>
          <w14:textFill>
            <w14:solidFill>
              <w14:schemeClr w14:val="tx1"/>
            </w14:solidFill>
          </w14:textFill>
        </w:rPr>
        <w:t>连续性方程、动量方程以及</w:t>
      </w:r>
      <w:r>
        <w:rPr>
          <w:rFonts w:ascii="Times New Roman" w:hAnsi="Times New Roman" w:cs="Times New Roman"/>
          <w:color w:val="000000" w:themeColor="text1"/>
          <w:kern w:val="2"/>
          <w:szCs w:val="22"/>
          <w14:textFill>
            <w14:solidFill>
              <w14:schemeClr w14:val="tx1"/>
            </w14:solidFill>
          </w14:textFill>
        </w:rPr>
        <w:t>伯努利方程解决工程实际问题</w:t>
      </w:r>
      <w:r>
        <w:rPr>
          <w:rFonts w:hint="eastAsia" w:ascii="Times New Roman" w:hAnsi="Times New Roman" w:cs="Times New Roman"/>
          <w:color w:val="000000" w:themeColor="text1"/>
          <w:kern w:val="2"/>
          <w:szCs w:val="22"/>
          <w14:textFill>
            <w14:solidFill>
              <w14:schemeClr w14:val="tx1"/>
            </w14:solidFill>
          </w14:textFill>
        </w:rPr>
        <w:t>的能力</w:t>
      </w:r>
      <w:r>
        <w:rPr>
          <w:rFonts w:ascii="Times New Roman" w:hAnsi="Times New Roman" w:cs="Times New Roman"/>
          <w:color w:val="000000" w:themeColor="text1"/>
          <w:kern w:val="2"/>
          <w:szCs w:val="22"/>
          <w14:textFill>
            <w14:solidFill>
              <w14:schemeClr w14:val="tx1"/>
            </w14:solidFill>
          </w14:textFill>
        </w:rPr>
        <w:t>。</w:t>
      </w:r>
      <w:r>
        <w:rPr>
          <w:rFonts w:hint="eastAsia" w:ascii="Times New Roman" w:hAnsi="Times New Roman" w:cs="Times New Roman"/>
          <w:color w:val="000000" w:themeColor="text1"/>
          <w:kern w:val="2"/>
          <w:szCs w:val="22"/>
          <w14:textFill>
            <w14:solidFill>
              <w14:schemeClr w14:val="tx1"/>
            </w14:solidFill>
          </w14:textFill>
        </w:rPr>
        <w:t>（二）要求</w:t>
      </w:r>
      <w:r>
        <w:rPr>
          <w:rFonts w:ascii="Times New Roman" w:hAnsi="Times New Roman" w:cs="Times New Roman"/>
          <w:color w:val="000000" w:themeColor="text1"/>
          <w:kern w:val="2"/>
          <w:szCs w:val="22"/>
          <w14:textFill>
            <w14:solidFill>
              <w14:schemeClr w14:val="tx1"/>
            </w14:solidFill>
          </w14:textFill>
        </w:rPr>
        <w:t>考生</w:t>
      </w:r>
      <w:r>
        <w:rPr>
          <w:rFonts w:hint="eastAsia" w:ascii="Times New Roman" w:hAnsi="Times New Roman" w:cs="Times New Roman"/>
          <w:color w:val="000000" w:themeColor="text1"/>
          <w:kern w:val="2"/>
          <w:szCs w:val="22"/>
          <w14:textFill>
            <w14:solidFill>
              <w14:schemeClr w14:val="tx1"/>
            </w14:solidFill>
          </w14:textFill>
        </w:rPr>
        <w:t>能具备</w:t>
      </w:r>
      <w:r>
        <w:rPr>
          <w:rFonts w:ascii="Times New Roman" w:hAnsi="Times New Roman" w:cs="Times New Roman"/>
          <w:color w:val="000000" w:themeColor="text1"/>
          <w:kern w:val="2"/>
          <w:szCs w:val="22"/>
          <w14:textFill>
            <w14:solidFill>
              <w14:schemeClr w14:val="tx1"/>
            </w14:solidFill>
          </w14:textFill>
        </w:rPr>
        <w:t>通用机械零件的工作原理、类型、结构、应用、失效形式和设计计算等方面的能力</w:t>
      </w:r>
      <w:r>
        <w:rPr>
          <w:rFonts w:hint="eastAsia" w:ascii="Times New Roman" w:hAnsi="Times New Roman" w:cs="Times New Roman"/>
          <w:color w:val="000000" w:themeColor="text1"/>
          <w:kern w:val="2"/>
          <w:szCs w:val="22"/>
          <w14:textFill>
            <w14:solidFill>
              <w14:schemeClr w14:val="tx1"/>
            </w14:solidFill>
          </w14:textFill>
        </w:rPr>
        <w:t>。</w:t>
      </w:r>
    </w:p>
    <w:p w14:paraId="3DB55FA9">
      <w:pPr>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三、考试形式</w:t>
      </w:r>
    </w:p>
    <w:p w14:paraId="72239A47">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本考试为闭卷考试，满分为150分，考试时间为180分钟。</w:t>
      </w:r>
    </w:p>
    <w:p w14:paraId="5AE2855C">
      <w:pPr>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四、考试内容</w:t>
      </w:r>
    </w:p>
    <w:p w14:paraId="3F230618">
      <w:pPr>
        <w:spacing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流体力学部分：</w:t>
      </w:r>
    </w:p>
    <w:p w14:paraId="3DADA13C">
      <w:pPr>
        <w:spacing w:line="360" w:lineRule="auto"/>
        <w:ind w:firstLine="240" w:firstLineChars="100"/>
        <w:rPr>
          <w:color w:val="000000" w:themeColor="text1"/>
          <w:sz w:val="24"/>
          <w14:textFill>
            <w14:solidFill>
              <w14:schemeClr w14:val="tx1"/>
            </w14:solidFill>
          </w14:textFill>
        </w:rPr>
      </w:pPr>
      <w:r>
        <w:rPr>
          <w:color w:val="000000" w:themeColor="text1"/>
          <w:sz w:val="24"/>
          <w14:textFill>
            <w14:solidFill>
              <w14:schemeClr w14:val="tx1"/>
            </w14:solidFill>
          </w14:textFill>
        </w:rPr>
        <w:t>（一）基本概念</w:t>
      </w:r>
    </w:p>
    <w:p w14:paraId="490F3E75">
      <w:pPr>
        <w:widowControl/>
        <w:spacing w:line="360" w:lineRule="auto"/>
        <w:ind w:firstLine="720" w:firstLineChars="3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流体的定义及特征</w:t>
      </w:r>
    </w:p>
    <w:p w14:paraId="68DBE92A">
      <w:pPr>
        <w:widowControl/>
        <w:spacing w:line="360" w:lineRule="auto"/>
        <w:ind w:firstLine="720" w:firstLineChars="3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rFonts w:eastAsiaTheme="minorEastAsia"/>
          <w:color w:val="000000" w:themeColor="text1"/>
          <w:sz w:val="24"/>
          <w:szCs w:val="24"/>
          <w14:textFill>
            <w14:solidFill>
              <w14:schemeClr w14:val="tx1"/>
            </w14:solidFill>
          </w14:textFill>
        </w:rPr>
        <w:t>流体的连续介质模型</w:t>
      </w:r>
    </w:p>
    <w:p w14:paraId="578CE838">
      <w:pPr>
        <w:widowControl/>
        <w:spacing w:line="360" w:lineRule="auto"/>
        <w:ind w:firstLine="720" w:firstLineChars="300"/>
        <w:rPr>
          <w:rFonts w:eastAsiaTheme="minorEastAsia"/>
          <w:color w:val="000000" w:themeColor="text1"/>
          <w:sz w:val="24"/>
          <w:szCs w:val="24"/>
          <w14:textFill>
            <w14:solidFill>
              <w14:schemeClr w14:val="tx1"/>
            </w14:solidFill>
          </w14:textFill>
        </w:rPr>
      </w:pP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w:t>
      </w:r>
      <w:r>
        <w:rPr>
          <w:rFonts w:eastAsiaTheme="minorEastAsia"/>
          <w:color w:val="000000" w:themeColor="text1"/>
          <w:sz w:val="24"/>
          <w:szCs w:val="24"/>
          <w14:textFill>
            <w14:solidFill>
              <w14:schemeClr w14:val="tx1"/>
            </w14:solidFill>
          </w14:textFill>
        </w:rPr>
        <w:t>流体的压缩性</w:t>
      </w:r>
      <w:r>
        <w:rPr>
          <w:rFonts w:hint="eastAsia" w:eastAsiaTheme="minorEastAsia"/>
          <w:color w:val="000000" w:themeColor="text1"/>
          <w:sz w:val="24"/>
          <w:szCs w:val="24"/>
          <w14:textFill>
            <w14:solidFill>
              <w14:schemeClr w14:val="tx1"/>
            </w14:solidFill>
          </w14:textFill>
        </w:rPr>
        <w:t>、</w:t>
      </w:r>
      <w:r>
        <w:rPr>
          <w:rFonts w:eastAsiaTheme="minorEastAsia"/>
          <w:color w:val="000000" w:themeColor="text1"/>
          <w:sz w:val="24"/>
          <w:szCs w:val="24"/>
          <w14:textFill>
            <w14:solidFill>
              <w14:schemeClr w14:val="tx1"/>
            </w14:solidFill>
          </w14:textFill>
        </w:rPr>
        <w:t>膨胀性</w:t>
      </w:r>
      <w:r>
        <w:rPr>
          <w:rFonts w:hint="eastAsia" w:eastAsiaTheme="minorEastAsia"/>
          <w:color w:val="000000" w:themeColor="text1"/>
          <w:sz w:val="24"/>
          <w:szCs w:val="24"/>
          <w14:textFill>
            <w14:solidFill>
              <w14:schemeClr w14:val="tx1"/>
            </w14:solidFill>
          </w14:textFill>
        </w:rPr>
        <w:t>和</w:t>
      </w:r>
      <w:r>
        <w:rPr>
          <w:rFonts w:eastAsiaTheme="minorEastAsia"/>
          <w:color w:val="000000" w:themeColor="text1"/>
          <w:sz w:val="24"/>
          <w:szCs w:val="24"/>
          <w14:textFill>
            <w14:solidFill>
              <w14:schemeClr w14:val="tx1"/>
            </w14:solidFill>
          </w14:textFill>
        </w:rPr>
        <w:t>黏性</w:t>
      </w:r>
    </w:p>
    <w:p w14:paraId="53B57EC4">
      <w:pPr>
        <w:widowControl/>
        <w:spacing w:line="360" w:lineRule="auto"/>
        <w:ind w:firstLine="720" w:firstLineChars="300"/>
        <w:rPr>
          <w:rFonts w:eastAsiaTheme="minorEastAsia"/>
          <w:color w:val="000000" w:themeColor="text1"/>
          <w:sz w:val="24"/>
          <w:szCs w:val="24"/>
          <w14:textFill>
            <w14:solidFill>
              <w14:schemeClr w14:val="tx1"/>
            </w14:solidFill>
          </w14:textFill>
        </w:rPr>
      </w:pPr>
      <w:r>
        <w:rPr>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w:t>
      </w:r>
      <w:r>
        <w:rPr>
          <w:rFonts w:eastAsiaTheme="minorEastAsia"/>
          <w:color w:val="000000" w:themeColor="text1"/>
          <w:sz w:val="24"/>
          <w:szCs w:val="24"/>
          <w14:textFill>
            <w14:solidFill>
              <w14:schemeClr w14:val="tx1"/>
            </w14:solidFill>
          </w14:textFill>
        </w:rPr>
        <w:t>流体的表面性质</w:t>
      </w:r>
      <w:r>
        <w:rPr>
          <w:rFonts w:hint="eastAsia" w:eastAsiaTheme="minorEastAsia"/>
          <w:color w:val="000000" w:themeColor="text1"/>
          <w:sz w:val="24"/>
          <w:szCs w:val="24"/>
          <w14:textFill>
            <w14:solidFill>
              <w14:schemeClr w14:val="tx1"/>
            </w14:solidFill>
          </w14:textFill>
        </w:rPr>
        <w:t>、</w:t>
      </w:r>
      <w:r>
        <w:rPr>
          <w:rFonts w:eastAsiaTheme="minorEastAsia"/>
          <w:color w:val="000000" w:themeColor="text1"/>
          <w:sz w:val="24"/>
          <w:szCs w:val="24"/>
          <w14:textFill>
            <w14:solidFill>
              <w14:schemeClr w14:val="tx1"/>
            </w14:solidFill>
          </w14:textFill>
        </w:rPr>
        <w:t>作用在流体上的力</w:t>
      </w:r>
    </w:p>
    <w:p w14:paraId="74CCF78C">
      <w:pPr>
        <w:widowControl/>
        <w:spacing w:line="360" w:lineRule="auto"/>
        <w:ind w:firstLine="720" w:firstLineChars="300"/>
        <w:rPr>
          <w:rFonts w:eastAsiaTheme="minorEastAsia"/>
          <w:color w:val="000000" w:themeColor="text1"/>
          <w:sz w:val="24"/>
          <w:szCs w:val="24"/>
          <w14:textFill>
            <w14:solidFill>
              <w14:schemeClr w14:val="tx1"/>
            </w14:solidFill>
          </w14:textFill>
        </w:rPr>
      </w:pPr>
      <w:r>
        <w:rPr>
          <w:color w:val="000000" w:themeColor="text1"/>
          <w:sz w:val="24"/>
          <w14:textFill>
            <w14:solidFill>
              <w14:schemeClr w14:val="tx1"/>
            </w14:solidFill>
          </w14:textFill>
        </w:rPr>
        <w:t>5</w:t>
      </w:r>
      <w:r>
        <w:rPr>
          <w:rFonts w:hint="eastAsia"/>
          <w:color w:val="000000" w:themeColor="text1"/>
          <w:sz w:val="24"/>
          <w14:textFill>
            <w14:solidFill>
              <w14:schemeClr w14:val="tx1"/>
            </w14:solidFill>
          </w14:textFill>
        </w:rPr>
        <w:t>．</w:t>
      </w:r>
      <w:r>
        <w:rPr>
          <w:rFonts w:eastAsiaTheme="minorEastAsia"/>
          <w:color w:val="000000" w:themeColor="text1"/>
          <w:sz w:val="24"/>
          <w:szCs w:val="24"/>
          <w14:textFill>
            <w14:solidFill>
              <w14:schemeClr w14:val="tx1"/>
            </w14:solidFill>
          </w14:textFill>
        </w:rPr>
        <w:t>流体静压强及其特征</w:t>
      </w:r>
    </w:p>
    <w:p w14:paraId="7641A799">
      <w:pPr>
        <w:widowControl/>
        <w:spacing w:line="360" w:lineRule="auto"/>
        <w:ind w:firstLine="720" w:firstLineChars="300"/>
        <w:rPr>
          <w:rFonts w:eastAsiaTheme="minorEastAsia"/>
          <w:color w:val="000000" w:themeColor="text1"/>
          <w:sz w:val="24"/>
          <w:szCs w:val="24"/>
          <w14:textFill>
            <w14:solidFill>
              <w14:schemeClr w14:val="tx1"/>
            </w14:solidFill>
          </w14:textFill>
        </w:rPr>
      </w:pPr>
      <w:r>
        <w:rPr>
          <w:color w:val="000000" w:themeColor="text1"/>
          <w:sz w:val="24"/>
          <w14:textFill>
            <w14:solidFill>
              <w14:schemeClr w14:val="tx1"/>
            </w14:solidFill>
          </w14:textFill>
        </w:rPr>
        <w:t>6</w:t>
      </w:r>
      <w:r>
        <w:rPr>
          <w:rFonts w:hint="eastAsia"/>
          <w:color w:val="000000" w:themeColor="text1"/>
          <w:sz w:val="24"/>
          <w14:textFill>
            <w14:solidFill>
              <w14:schemeClr w14:val="tx1"/>
            </w14:solidFill>
          </w14:textFill>
        </w:rPr>
        <w:t>．</w:t>
      </w:r>
      <w:r>
        <w:rPr>
          <w:rFonts w:eastAsiaTheme="minorEastAsia"/>
          <w:color w:val="000000" w:themeColor="text1"/>
          <w:sz w:val="24"/>
          <w:szCs w:val="24"/>
          <w14:textFill>
            <w14:solidFill>
              <w14:schemeClr w14:val="tx1"/>
            </w14:solidFill>
          </w14:textFill>
        </w:rPr>
        <w:t>重力场中流体的平衡</w:t>
      </w:r>
    </w:p>
    <w:p w14:paraId="4FC78E98">
      <w:pPr>
        <w:widowControl/>
        <w:spacing w:line="360" w:lineRule="auto"/>
        <w:ind w:firstLine="240" w:firstLineChars="1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二</w:t>
      </w: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流体动力学基础</w:t>
      </w:r>
    </w:p>
    <w:p w14:paraId="35B63A5B">
      <w:pPr>
        <w:widowControl/>
        <w:spacing w:line="360" w:lineRule="auto"/>
        <w:ind w:firstLine="720" w:firstLineChars="300"/>
        <w:rPr>
          <w:rFonts w:eastAsiaTheme="minorEastAsia"/>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w:t>
      </w:r>
      <w:r>
        <w:rPr>
          <w:rFonts w:hint="eastAsia"/>
          <w:color w:val="000000" w:themeColor="text1"/>
          <w:sz w:val="24"/>
          <w14:textFill>
            <w14:solidFill>
              <w14:schemeClr w14:val="tx1"/>
            </w14:solidFill>
          </w14:textFill>
        </w:rPr>
        <w:t>．</w:t>
      </w:r>
      <w:r>
        <w:rPr>
          <w:rFonts w:eastAsiaTheme="minorEastAsia"/>
          <w:color w:val="000000" w:themeColor="text1"/>
          <w:sz w:val="24"/>
          <w:szCs w:val="24"/>
          <w14:textFill>
            <w14:solidFill>
              <w14:schemeClr w14:val="tx1"/>
            </w14:solidFill>
          </w14:textFill>
        </w:rPr>
        <w:t>流体运动的描述方法</w:t>
      </w:r>
      <w:r>
        <w:rPr>
          <w:rFonts w:hint="eastAsia" w:eastAsiaTheme="minorEastAsia"/>
          <w:color w:val="000000" w:themeColor="text1"/>
          <w:sz w:val="24"/>
          <w:szCs w:val="24"/>
          <w14:textFill>
            <w14:solidFill>
              <w14:schemeClr w14:val="tx1"/>
            </w14:solidFill>
          </w14:textFill>
        </w:rPr>
        <w:t>、</w:t>
      </w:r>
      <w:r>
        <w:rPr>
          <w:rFonts w:eastAsiaTheme="minorEastAsia"/>
          <w:color w:val="000000" w:themeColor="text1"/>
          <w:sz w:val="24"/>
          <w:szCs w:val="24"/>
          <w14:textFill>
            <w14:solidFill>
              <w14:schemeClr w14:val="tx1"/>
            </w14:solidFill>
          </w14:textFill>
        </w:rPr>
        <w:t>流动的类型</w:t>
      </w:r>
    </w:p>
    <w:p w14:paraId="2AE9866F">
      <w:pPr>
        <w:widowControl/>
        <w:spacing w:line="360" w:lineRule="auto"/>
        <w:ind w:firstLine="720" w:firstLineChars="3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系统</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控制体</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输运公式</w:t>
      </w:r>
    </w:p>
    <w:p w14:paraId="5BD70DD7">
      <w:pPr>
        <w:widowControl/>
        <w:spacing w:line="360" w:lineRule="auto"/>
        <w:ind w:firstLine="720" w:firstLineChars="3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w:t>
      </w:r>
      <w:r>
        <w:rPr>
          <w:rFonts w:hint="eastAsia"/>
          <w:color w:val="000000" w:themeColor="text1"/>
          <w:sz w:val="24"/>
          <w14:textFill>
            <w14:solidFill>
              <w14:schemeClr w14:val="tx1"/>
            </w14:solidFill>
          </w14:textFill>
        </w:rPr>
        <w:t>．</w:t>
      </w:r>
      <w:r>
        <w:rPr>
          <w:rFonts w:eastAsiaTheme="minorEastAsia"/>
          <w:color w:val="000000" w:themeColor="text1"/>
          <w:sz w:val="24"/>
          <w:szCs w:val="24"/>
          <w14:textFill>
            <w14:solidFill>
              <w14:schemeClr w14:val="tx1"/>
            </w14:solidFill>
          </w14:textFill>
        </w:rPr>
        <w:t>连续性方程</w:t>
      </w:r>
    </w:p>
    <w:p w14:paraId="643ACFD0">
      <w:pPr>
        <w:widowControl/>
        <w:spacing w:line="360" w:lineRule="auto"/>
        <w:ind w:firstLine="720" w:firstLineChars="3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4</w:t>
      </w:r>
      <w:r>
        <w:rPr>
          <w:rFonts w:hint="eastAsia"/>
          <w:color w:val="000000" w:themeColor="text1"/>
          <w:sz w:val="24"/>
          <w14:textFill>
            <w14:solidFill>
              <w14:schemeClr w14:val="tx1"/>
            </w14:solidFill>
          </w14:textFill>
        </w:rPr>
        <w:t>．</w:t>
      </w:r>
      <w:r>
        <w:rPr>
          <w:rFonts w:eastAsiaTheme="minorEastAsia"/>
          <w:color w:val="000000" w:themeColor="text1"/>
          <w:sz w:val="24"/>
          <w:szCs w:val="24"/>
          <w14:textFill>
            <w14:solidFill>
              <w14:schemeClr w14:val="tx1"/>
            </w14:solidFill>
          </w14:textFill>
        </w:rPr>
        <w:t>动量方程和动量矩方程</w:t>
      </w:r>
    </w:p>
    <w:p w14:paraId="3F434F2E">
      <w:pPr>
        <w:spacing w:line="360" w:lineRule="auto"/>
        <w:ind w:firstLine="720" w:firstLineChars="300"/>
        <w:rPr>
          <w:rFonts w:eastAsiaTheme="minorEastAsia"/>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w:t>
      </w:r>
      <w:r>
        <w:rPr>
          <w:rFonts w:hint="eastAsia"/>
          <w:color w:val="000000" w:themeColor="text1"/>
          <w:sz w:val="24"/>
          <w14:textFill>
            <w14:solidFill>
              <w14:schemeClr w14:val="tx1"/>
            </w14:solidFill>
          </w14:textFill>
        </w:rPr>
        <w:t>．</w:t>
      </w:r>
      <w:r>
        <w:rPr>
          <w:rFonts w:eastAsiaTheme="minorEastAsia"/>
          <w:color w:val="000000" w:themeColor="text1"/>
          <w:sz w:val="24"/>
          <w:szCs w:val="24"/>
          <w14:textFill>
            <w14:solidFill>
              <w14:schemeClr w14:val="tx1"/>
            </w14:solidFill>
          </w14:textFill>
        </w:rPr>
        <w:t>能量方程</w:t>
      </w:r>
    </w:p>
    <w:p w14:paraId="144171C7">
      <w:pPr>
        <w:spacing w:line="360" w:lineRule="auto"/>
        <w:ind w:firstLine="720" w:firstLineChars="300"/>
        <w:rPr>
          <w:rFonts w:eastAsiaTheme="minorEastAsia"/>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w:t>
      </w:r>
      <w:r>
        <w:rPr>
          <w:rFonts w:hint="eastAsia"/>
          <w:color w:val="000000" w:themeColor="text1"/>
          <w:sz w:val="24"/>
          <w14:textFill>
            <w14:solidFill>
              <w14:schemeClr w14:val="tx1"/>
            </w14:solidFill>
          </w14:textFill>
        </w:rPr>
        <w:t>．</w:t>
      </w:r>
      <w:r>
        <w:rPr>
          <w:rFonts w:eastAsiaTheme="minorEastAsia"/>
          <w:color w:val="000000" w:themeColor="text1"/>
          <w:sz w:val="24"/>
          <w:szCs w:val="24"/>
          <w14:textFill>
            <w14:solidFill>
              <w14:schemeClr w14:val="tx1"/>
            </w14:solidFill>
          </w14:textFill>
        </w:rPr>
        <w:t>伯努利方程及其应用</w:t>
      </w:r>
    </w:p>
    <w:p w14:paraId="2DB69F82">
      <w:pPr>
        <w:widowControl/>
        <w:spacing w:line="360" w:lineRule="auto"/>
        <w:ind w:firstLine="240" w:firstLineChars="1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三</w:t>
      </w: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相似原理和量纲分析</w:t>
      </w:r>
    </w:p>
    <w:p w14:paraId="52120B41">
      <w:pPr>
        <w:widowControl/>
        <w:spacing w:line="360" w:lineRule="auto"/>
        <w:ind w:firstLine="720" w:firstLineChars="30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1</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流动的力学相似</w:t>
      </w:r>
    </w:p>
    <w:p w14:paraId="19468BF7">
      <w:pPr>
        <w:widowControl/>
        <w:spacing w:line="360" w:lineRule="auto"/>
        <w:ind w:firstLine="720" w:firstLineChars="30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2</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动力相似准则</w:t>
      </w:r>
    </w:p>
    <w:p w14:paraId="427443EB">
      <w:pPr>
        <w:widowControl/>
        <w:spacing w:line="360" w:lineRule="auto"/>
        <w:ind w:firstLine="720" w:firstLineChars="30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3</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流动相似条件</w:t>
      </w:r>
    </w:p>
    <w:p w14:paraId="015E6943">
      <w:pPr>
        <w:widowControl/>
        <w:spacing w:line="360" w:lineRule="auto"/>
        <w:ind w:firstLine="720" w:firstLineChars="30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4</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量纲分析法</w:t>
      </w:r>
    </w:p>
    <w:p w14:paraId="1DF8EF7B">
      <w:pPr>
        <w:widowControl/>
        <w:spacing w:line="360" w:lineRule="auto"/>
        <w:ind w:firstLine="240" w:firstLineChars="1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四</w:t>
      </w:r>
      <w:r>
        <w:rPr>
          <w:color w:val="000000" w:themeColor="text1"/>
          <w:sz w:val="24"/>
          <w:szCs w:val="24"/>
          <w14:textFill>
            <w14:solidFill>
              <w14:schemeClr w14:val="tx1"/>
            </w14:solidFill>
          </w14:textFill>
        </w:rPr>
        <w:t>）黏性流体的一维流动</w:t>
      </w:r>
    </w:p>
    <w:p w14:paraId="720807BD">
      <w:pPr>
        <w:widowControl/>
        <w:spacing w:line="360" w:lineRule="auto"/>
        <w:ind w:firstLine="720" w:firstLineChars="300"/>
        <w:rPr>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1</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黏性流体总流的伯努利方程</w:t>
      </w:r>
    </w:p>
    <w:p w14:paraId="391DE2FF">
      <w:pPr>
        <w:widowControl/>
        <w:spacing w:line="360" w:lineRule="auto"/>
        <w:ind w:firstLine="720" w:firstLineChars="30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2</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黏性流体管内流动的两种损失</w:t>
      </w:r>
    </w:p>
    <w:p w14:paraId="4A9A2023">
      <w:pPr>
        <w:widowControl/>
        <w:spacing w:line="360" w:lineRule="auto"/>
        <w:ind w:firstLine="720" w:firstLineChars="30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3</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黏性流体的两种流动状态</w:t>
      </w:r>
    </w:p>
    <w:p w14:paraId="15CFADD8">
      <w:pPr>
        <w:widowControl/>
        <w:spacing w:line="360" w:lineRule="auto"/>
        <w:ind w:firstLine="720" w:firstLineChars="30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4</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管道进口段中黏性流体的流动</w:t>
      </w:r>
    </w:p>
    <w:p w14:paraId="5B4CE3C0">
      <w:pPr>
        <w:widowControl/>
        <w:spacing w:line="360" w:lineRule="auto"/>
        <w:ind w:firstLine="720" w:firstLineChars="300"/>
        <w:rPr>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5</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圆管中的层流流动</w:t>
      </w:r>
    </w:p>
    <w:p w14:paraId="2FCA2401">
      <w:pPr>
        <w:widowControl/>
        <w:spacing w:line="360" w:lineRule="auto"/>
        <w:ind w:firstLine="720" w:firstLineChars="300"/>
        <w:rPr>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6</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黏性流体的紊流流动</w:t>
      </w:r>
    </w:p>
    <w:p w14:paraId="78D3F960">
      <w:pPr>
        <w:widowControl/>
        <w:spacing w:line="360" w:lineRule="auto"/>
        <w:ind w:firstLine="720" w:firstLineChars="30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7</w:t>
      </w:r>
      <w:r>
        <w:rPr>
          <w:rFonts w:hint="eastAsia"/>
          <w:color w:val="000000" w:themeColor="text1"/>
          <w:sz w:val="24"/>
          <w14:textFill>
            <w14:solidFill>
              <w14:schemeClr w14:val="tx1"/>
            </w14:solidFill>
          </w14:textFill>
        </w:rPr>
        <w:t>．局部损失</w:t>
      </w:r>
    </w:p>
    <w:p w14:paraId="7712CEDC">
      <w:pPr>
        <w:widowControl/>
        <w:spacing w:line="360" w:lineRule="auto"/>
        <w:ind w:firstLine="720" w:firstLineChars="30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8</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管道的水力计算</w:t>
      </w:r>
    </w:p>
    <w:p w14:paraId="2796B8D9">
      <w:pPr>
        <w:widowControl/>
        <w:spacing w:line="360" w:lineRule="auto"/>
        <w:ind w:firstLine="720" w:firstLineChars="300"/>
        <w:rPr>
          <w:rFonts w:hint="eastAsia"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9</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孔口管嘴出流</w:t>
      </w:r>
    </w:p>
    <w:p w14:paraId="5C3E1819">
      <w:pPr>
        <w:widowControl/>
        <w:spacing w:line="360" w:lineRule="auto"/>
        <w:ind w:firstLine="240" w:firstLineChars="1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五</w:t>
      </w: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势流理论</w:t>
      </w:r>
    </w:p>
    <w:p w14:paraId="552F6AEC">
      <w:pPr>
        <w:widowControl/>
        <w:spacing w:line="360" w:lineRule="auto"/>
        <w:ind w:firstLine="720" w:firstLineChars="3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速度势函数与流函数</w:t>
      </w:r>
    </w:p>
    <w:p w14:paraId="1725B288">
      <w:pPr>
        <w:widowControl/>
        <w:spacing w:line="360" w:lineRule="auto"/>
        <w:ind w:firstLine="720" w:firstLineChars="3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平面势流叠加</w:t>
      </w:r>
    </w:p>
    <w:p w14:paraId="1C3EDA3C">
      <w:pPr>
        <w:widowControl/>
        <w:spacing w:line="360" w:lineRule="auto"/>
        <w:ind w:firstLine="720" w:firstLineChars="3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圆柱绕流</w:t>
      </w:r>
    </w:p>
    <w:p w14:paraId="3246E692">
      <w:pPr>
        <w:widowControl/>
        <w:spacing w:line="360" w:lineRule="auto"/>
        <w:ind w:firstLine="240" w:firstLineChars="1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六</w:t>
      </w: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边界层与绕流</w:t>
      </w:r>
    </w:p>
    <w:p w14:paraId="65084069">
      <w:pPr>
        <w:widowControl/>
        <w:spacing w:line="360" w:lineRule="auto"/>
        <w:ind w:firstLine="720" w:firstLineChars="3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边界层的概念</w:t>
      </w:r>
    </w:p>
    <w:p w14:paraId="089BE007">
      <w:pPr>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平面层流边界层的微分方程</w:t>
      </w:r>
    </w:p>
    <w:p w14:paraId="5EEE24E3">
      <w:pPr>
        <w:widowControl/>
        <w:spacing w:line="360" w:lineRule="auto"/>
        <w:ind w:firstLine="720" w:firstLineChars="300"/>
        <w:rPr>
          <w:color w:val="000000" w:themeColor="text1"/>
          <w:sz w:val="24"/>
          <w14:textFill>
            <w14:solidFill>
              <w14:schemeClr w14:val="tx1"/>
            </w14:solidFill>
          </w14:textFill>
        </w:rPr>
      </w:pPr>
      <w:r>
        <w:rPr>
          <w:color w:val="000000" w:themeColor="text1"/>
          <w:sz w:val="24"/>
          <w:szCs w:val="24"/>
          <w14:textFill>
            <w14:solidFill>
              <w14:schemeClr w14:val="tx1"/>
            </w14:solidFill>
          </w14:textFill>
        </w:rPr>
        <w:t>3</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边界层的动量积分关系式</w:t>
      </w:r>
    </w:p>
    <w:p w14:paraId="710A0914">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w:t>
      </w:r>
      <w:r>
        <w:rPr>
          <w:rFonts w:hint="eastAsia"/>
          <w:color w:val="000000" w:themeColor="text1"/>
          <w:sz w:val="24"/>
          <w14:textFill>
            <w14:solidFill>
              <w14:schemeClr w14:val="tx1"/>
            </w14:solidFill>
          </w14:textFill>
        </w:rPr>
        <w:t>．</w:t>
      </w:r>
      <w:r>
        <w:rPr>
          <w:color w:val="000000" w:themeColor="text1"/>
          <w:sz w:val="24"/>
          <w:szCs w:val="24"/>
          <w14:textFill>
            <w14:solidFill>
              <w14:schemeClr w14:val="tx1"/>
            </w14:solidFill>
          </w14:textFill>
        </w:rPr>
        <w:t>平板边界层流动的近似计算</w:t>
      </w:r>
    </w:p>
    <w:p w14:paraId="290B44B2">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物体的阻力与减阻</w:t>
      </w:r>
    </w:p>
    <w:p w14:paraId="30572107">
      <w:pPr>
        <w:widowControl/>
        <w:spacing w:line="360" w:lineRule="auto"/>
        <w:rPr>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机械设计基础部分：</w:t>
      </w:r>
    </w:p>
    <w:p w14:paraId="199AE482">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（一）机械零件的强度</w:t>
      </w:r>
    </w:p>
    <w:p w14:paraId="663D1655">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1．熟悉应力的分类、材料的疲劳特性；</w:t>
      </w:r>
    </w:p>
    <w:p w14:paraId="508EA32E">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2．掌握机械零件的疲劳强度计算。</w:t>
      </w:r>
    </w:p>
    <w:p w14:paraId="0B16EF8F">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（二）摩擦、磨损及润滑概述</w:t>
      </w:r>
    </w:p>
    <w:p w14:paraId="09F0FE3F">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1．熟悉滑动摩擦的四种类型；</w:t>
      </w:r>
    </w:p>
    <w:p w14:paraId="7D565A53">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2．熟悉磨损过程及各种磨损的现象和特点；</w:t>
      </w:r>
    </w:p>
    <w:p w14:paraId="74D41F21">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3．了解润滑的方法和润滑剂的性能。</w:t>
      </w:r>
    </w:p>
    <w:p w14:paraId="08BB344C">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（三）螺纹连接和螺旋传动</w:t>
      </w:r>
    </w:p>
    <w:p w14:paraId="10D1EC1A">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1．熟悉螺纹的种类、特点及螺纹连接的类型；</w:t>
      </w:r>
    </w:p>
    <w:p w14:paraId="605B6687">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2．了解各种标准连接件；</w:t>
      </w:r>
    </w:p>
    <w:p w14:paraId="2D793504">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3．熟悉螺纹联接的预紧、防松的方法；</w:t>
      </w:r>
    </w:p>
    <w:p w14:paraId="1DF3AA7B">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4．掌握螺纹连接的强度计算、螺栓组联接的设计；</w:t>
      </w:r>
    </w:p>
    <w:p w14:paraId="27DFE3DD">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5．熟悉螺纹联接的材料及许用应力,掌握提高螺纹联接强度的措施。</w:t>
      </w:r>
    </w:p>
    <w:p w14:paraId="53354B15">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（四）键、花键、无键连接和销连接</w:t>
      </w:r>
    </w:p>
    <w:p w14:paraId="3E8E4E81">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1．掌握键连接的强度校核；</w:t>
      </w:r>
    </w:p>
    <w:p w14:paraId="74667796">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2．熟悉花键连接；</w:t>
      </w:r>
    </w:p>
    <w:p w14:paraId="1A06B5B2">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3．了解无键连接和销连接。</w:t>
      </w:r>
    </w:p>
    <w:p w14:paraId="0E753F6A">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（五）带传动</w:t>
      </w:r>
    </w:p>
    <w:p w14:paraId="430E7F81">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1．了解带传动的分类；</w:t>
      </w:r>
    </w:p>
    <w:p w14:paraId="1E3E41F8">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2．掌握带传动的特点、工作情况的分析及设计计算；</w:t>
      </w:r>
    </w:p>
    <w:p w14:paraId="55759338">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3．熟悉带轮的设计、带传动的张紧、安装与防护。</w:t>
      </w:r>
    </w:p>
    <w:p w14:paraId="1A9DBA2A">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（六）链传动</w:t>
      </w:r>
    </w:p>
    <w:p w14:paraId="2FFBA989">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1．熟悉链传动的特点及应用；</w:t>
      </w:r>
    </w:p>
    <w:p w14:paraId="64A3C329">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2．了解传动链的结构特点、滚子链链轮的结构和材料；</w:t>
      </w:r>
    </w:p>
    <w:p w14:paraId="7982E64A">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3．掌握链传动的运动特性、受力分析及设计计算；</w:t>
      </w:r>
    </w:p>
    <w:p w14:paraId="2DC9A264">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4．了解链传动的布置、张紧、润滑和防护。</w:t>
      </w:r>
    </w:p>
    <w:p w14:paraId="2B679365">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（七）齿轮传动</w:t>
      </w:r>
    </w:p>
    <w:p w14:paraId="3F8E64F4">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1．熟悉齿轮传动的分类及特点；</w:t>
      </w:r>
    </w:p>
    <w:p w14:paraId="54C3C79F">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2．掌握齿轮传动的失效形式及设计准则；</w:t>
      </w:r>
    </w:p>
    <w:p w14:paraId="75CDF693">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3．熟悉齿轮的材料及其选用原则；</w:t>
      </w:r>
    </w:p>
    <w:p w14:paraId="7979611B">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4．掌握计算载荷的有关因素及减少方法；</w:t>
      </w:r>
    </w:p>
    <w:p w14:paraId="408F44D1">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5．掌握标准直齿圆柱齿轮传动的强度计算及设计参数、许用应力的选择；</w:t>
      </w:r>
    </w:p>
    <w:p w14:paraId="534FD114">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6．掌握标准斜齿圆柱齿轮、标准锥齿轮传动的强度计算；</w:t>
      </w:r>
    </w:p>
    <w:p w14:paraId="3814CD39">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7．熟悉标准锥齿轮传动的强度计算；</w:t>
      </w:r>
    </w:p>
    <w:p w14:paraId="1111DF33">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8．了解变位齿轮传动对强度的影响。</w:t>
      </w:r>
    </w:p>
    <w:p w14:paraId="75AC52AF">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（八）蜗杆传动</w:t>
      </w:r>
    </w:p>
    <w:p w14:paraId="6EECF563">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1．熟悉蜗杆传动的类型；</w:t>
      </w:r>
    </w:p>
    <w:p w14:paraId="138ED3E0">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2．掌握普通圆柱蜗杆传动的主要参数和几何尺寸计算及普通圆柱蜗杆传动承载能力的计算；</w:t>
      </w:r>
    </w:p>
    <w:p w14:paraId="6962E40E">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3．掌握普通圆柱蜗杆传动的效率、润滑及热平衡计算；</w:t>
      </w:r>
    </w:p>
    <w:p w14:paraId="11D3E952">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4．熟悉普通圆柱蜗杆和蜗轮的结构设计。</w:t>
      </w:r>
    </w:p>
    <w:p w14:paraId="09AAA86A">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（九）滑动轴承</w:t>
      </w:r>
    </w:p>
    <w:p w14:paraId="730B91C4">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1．掌握滑动轴承、滚动轴承各自的特点及应用场合；</w:t>
      </w:r>
    </w:p>
    <w:p w14:paraId="1DE4134D">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2．了解径向滑动轴承的主要结构形式；</w:t>
      </w:r>
    </w:p>
    <w:p w14:paraId="51C537A1">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3．熟悉滑动轴承的失效形式及常用材料及轴瓦结构；</w:t>
      </w:r>
    </w:p>
    <w:p w14:paraId="15F40058">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4．掌握不完全液体润滑滑动轴承的设计计算及液体动力润滑径向滑动轴承的设计计算。</w:t>
      </w:r>
    </w:p>
    <w:p w14:paraId="4CBDF62D">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（十）滚动轴承</w:t>
      </w:r>
    </w:p>
    <w:p w14:paraId="2E99FDC1">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1．掌握滚动轴承的主要类型及其代号含义；</w:t>
      </w:r>
    </w:p>
    <w:p w14:paraId="64A8B40C">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2．掌握滚动轴承类型的选择原则；</w:t>
      </w:r>
    </w:p>
    <w:p w14:paraId="37100F85">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3．熟悉滚动轴承基本额定寿命及额定动载荷的含义；</w:t>
      </w:r>
    </w:p>
    <w:p w14:paraId="7E302F03">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4．掌握滚动轴承尺寸的选择；</w:t>
      </w:r>
    </w:p>
    <w:p w14:paraId="19889428">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5．掌握轴承装置的组合设计。</w:t>
      </w:r>
    </w:p>
    <w:p w14:paraId="27A884FF">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（十一）联轴器和离合器</w:t>
      </w:r>
    </w:p>
    <w:p w14:paraId="0702E289">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1．了解各种联轴器和离合器的类型、特性及选择原则。</w:t>
      </w:r>
    </w:p>
    <w:p w14:paraId="14B96894">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（十二）轴</w:t>
      </w:r>
    </w:p>
    <w:p w14:paraId="27EDC232">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1．了解轴材料的选择原则；</w:t>
      </w:r>
    </w:p>
    <w:p w14:paraId="673FB621">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2．掌握轴的结构设计；</w:t>
      </w:r>
    </w:p>
    <w:p w14:paraId="123AF226">
      <w:pPr>
        <w:widowControl/>
        <w:spacing w:line="360" w:lineRule="auto"/>
        <w:ind w:firstLine="720" w:firstLineChars="3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3．掌握轴的强度、刚度及振动稳定性的计算。</w:t>
      </w:r>
    </w:p>
    <w:p w14:paraId="1C81A906">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898"/>
    <w:rsid w:val="0029727E"/>
    <w:rsid w:val="00376B38"/>
    <w:rsid w:val="003D2898"/>
    <w:rsid w:val="005020D4"/>
    <w:rsid w:val="005E388F"/>
    <w:rsid w:val="00DE4DCD"/>
    <w:rsid w:val="365E0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7"/>
    <w:qFormat/>
    <w:uiPriority w:val="0"/>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2">
    <w:name w:val="header"/>
    <w:basedOn w:val="1"/>
    <w:link w:val="35"/>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0"/>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szCs w:val="24"/>
    </w:rPr>
  </w:style>
  <w:style w:type="character" w:customStyle="1" w:styleId="22">
    <w:name w:val="标题 6 字符"/>
    <w:basedOn w:val="16"/>
    <w:link w:val="7"/>
    <w:semiHidden/>
    <w:uiPriority w:val="9"/>
    <w:rPr>
      <w:rFonts w:cstheme="majorBidi"/>
      <w:b/>
      <w:bCs/>
      <w:color w:val="104862" w:themeColor="accent1" w:themeShade="BF"/>
    </w:rPr>
  </w:style>
  <w:style w:type="character" w:customStyle="1" w:styleId="23">
    <w:name w:val="标题 7 字符"/>
    <w:basedOn w:val="16"/>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rFonts w:asciiTheme="minorHAnsi" w:hAnsiTheme="minorHAnsi" w:eastAsiaTheme="minorEastAsia" w:cstheme="minorBidi"/>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rPr>
      <w:rFonts w:asciiTheme="minorHAnsi" w:hAnsiTheme="minorHAnsi" w:eastAsiaTheme="minorEastAsia" w:cstheme="minorBidi"/>
    </w:r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rFonts w:asciiTheme="minorHAnsi" w:hAnsiTheme="minorHAnsi" w:eastAsiaTheme="minorEastAsia" w:cstheme="minorBidi"/>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 w:type="paragraph" w:customStyle="1" w:styleId="37">
    <w:name w:val="ds-markdown-paragraph"/>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1672</Words>
  <Characters>1678</Characters>
  <Lines>12</Lines>
  <Paragraphs>3</Paragraphs>
  <TotalTime>0</TotalTime>
  <ScaleCrop>false</ScaleCrop>
  <LinksUpToDate>false</LinksUpToDate>
  <CharactersWithSpaces>1679</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2026-06-23T08:27:00Z</dcterms:created>
  <dc:creator>ZHE TIAN</dc:creator>
  <cp:lastModifiedBy>李坤伦</cp:lastModifiedBy>
  <dcterms:modified xsi:type="dcterms:W3CDTF">2026-07-01T01:24:01Z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eyJoZGlkIjoiNDIyNzEzY2QzMzA3OWEzMGQ3MzE1ZDllOWZjYjI1N2QiLCJ1c2VySWQiOiIyMDQwMTE2ODcifQ==</vt:lpwstr>
  </property>
  <property fmtid="{D5CDD505-2E9C-101B-9397-08002B2CF9AE}" pid="3" name="KSOProductBuildVer">
    <vt:lpwstr>2052-12.1.0.24031</vt:lpwstr>
  </property>
  <property fmtid="{D5CDD505-2E9C-101B-9397-08002B2CF9AE}" pid="4" name="ICV">
    <vt:lpwstr>713373876B28426587879EE0554772A0_13</vt:lpwstr>
  </property>
</Properties>
</file>