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A6F20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20453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862 遥感概论</w:t>
      </w:r>
    </w:p>
    <w:p w14:paraId="3422BB53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1" w:name="_GoBack"/>
      <w:bookmarkEnd w:id="1"/>
    </w:p>
    <w:p w14:paraId="171CD4FA">
      <w:pPr>
        <w:pStyle w:val="10"/>
        <w:spacing w:line="360" w:lineRule="auto"/>
        <w:rPr>
          <w:rFonts w:eastAsia="宋体"/>
          <w:szCs w:val="20"/>
        </w:rPr>
      </w:pPr>
      <w:r>
        <w:rPr>
          <w:rFonts w:eastAsia="宋体"/>
          <w:b/>
          <w:sz w:val="28"/>
          <w:szCs w:val="28"/>
        </w:rPr>
        <w:t>一、考试性质</w:t>
      </w:r>
      <w:r>
        <w:rPr>
          <w:rFonts w:eastAsia="宋体"/>
          <w:b/>
          <w:bCs/>
          <w:sz w:val="28"/>
          <w:szCs w:val="28"/>
        </w:rPr>
        <w:br w:type="textWrapping"/>
      </w:r>
      <w:r>
        <w:rPr>
          <w:rFonts w:eastAsia="宋体"/>
          <w:szCs w:val="20"/>
        </w:rPr>
        <w:t xml:space="preserve">    《遥感概论》是中国海洋大学信息科学与工程学部遥感科学与技术专业</w:t>
      </w:r>
      <w:r>
        <w:rPr>
          <w:rFonts w:hint="default" w:ascii="Times New Roman" w:hAnsi="Times New Roman" w:eastAsia="宋体" w:cs="Times New Roman"/>
          <w:szCs w:val="20"/>
        </w:rPr>
        <w:t>（140400）</w:t>
      </w:r>
      <w:r>
        <w:rPr>
          <w:rFonts w:eastAsia="宋体"/>
          <w:szCs w:val="20"/>
        </w:rPr>
        <w:t>硕士研究生入学考试初试笔试科目。</w:t>
      </w:r>
    </w:p>
    <w:p w14:paraId="257EFE82">
      <w:pPr>
        <w:pStyle w:val="10"/>
        <w:spacing w:line="360" w:lineRule="auto"/>
        <w:rPr>
          <w:rFonts w:eastAsia="宋体"/>
          <w:b/>
          <w:bCs/>
        </w:rPr>
      </w:pPr>
      <w:r>
        <w:rPr>
          <w:rStyle w:val="14"/>
          <w:rFonts w:eastAsia="宋体"/>
        </w:rPr>
        <w:t>二、考查目标</w:t>
      </w:r>
      <w:r>
        <w:br w:type="textWrapping"/>
      </w:r>
      <w:r>
        <w:rPr>
          <w:rFonts w:eastAsia="宋体"/>
        </w:rPr>
        <w:t xml:space="preserve">    在基础理论方面要求考生深入理解遥感的物理基础、电磁辐射理论和地物光谱特征；在技术方法方面要求掌握遥感成像原理、图像处理技术和解译方法；在应用能力方面要求能够运用遥感理论和技术解决实际问题，具备地学分析和综合研究能力。</w:t>
      </w:r>
    </w:p>
    <w:p w14:paraId="2B67A284">
      <w:pPr>
        <w:pStyle w:val="10"/>
        <w:spacing w:line="360" w:lineRule="auto"/>
      </w:pPr>
      <w:r>
        <w:rPr>
          <w:rStyle w:val="14"/>
          <w:rFonts w:eastAsia="宋体"/>
        </w:rPr>
        <w:t>三、考试形式</w:t>
      </w:r>
      <w:r>
        <w:br w:type="textWrapping"/>
      </w:r>
      <w:r>
        <w:rPr>
          <w:rFonts w:eastAsia="宋体"/>
        </w:rPr>
        <w:t xml:space="preserve">    本考试为闭卷考试，满分为</w:t>
      </w:r>
      <w:r>
        <w:t>150</w:t>
      </w:r>
      <w:r>
        <w:rPr>
          <w:rFonts w:eastAsia="宋体"/>
        </w:rPr>
        <w:t>分，考试时间为</w:t>
      </w:r>
      <w:r>
        <w:t>180</w:t>
      </w:r>
      <w:r>
        <w:rPr>
          <w:rFonts w:eastAsia="宋体"/>
        </w:rPr>
        <w:t>分钟。</w:t>
      </w:r>
    </w:p>
    <w:p w14:paraId="7F2271F0">
      <w:pPr>
        <w:pStyle w:val="10"/>
      </w:pPr>
      <w:r>
        <w:rPr>
          <w:rStyle w:val="14"/>
          <w:rFonts w:eastAsia="宋体"/>
        </w:rPr>
        <w:t>四、考试内容</w:t>
      </w:r>
    </w:p>
    <w:p w14:paraId="7F255D8C">
      <w:pPr>
        <w:pStyle w:val="10"/>
        <w:spacing w:line="360" w:lineRule="auto"/>
        <w:rPr>
          <w:rFonts w:eastAsia="宋体"/>
        </w:rPr>
      </w:pPr>
      <w:r>
        <w:rPr>
          <w:rStyle w:val="14"/>
          <w:rFonts w:eastAsia="宋体"/>
          <w:b w:val="0"/>
        </w:rPr>
        <w:t>（一）遥感基础理论</w:t>
      </w:r>
      <w:r>
        <w:br w:type="textWrapping"/>
      </w:r>
      <w:r>
        <w:rPr>
          <w:rFonts w:eastAsia="宋体"/>
        </w:rPr>
        <w:t xml:space="preserve">    遥感的基本概念、定义和内涵；遥感系统的组成要素和技术特点；遥感的分类方法和主要应用领域；遥感技术相对于传统观测方法的优势和局限性。</w:t>
      </w:r>
    </w:p>
    <w:p w14:paraId="19F83248">
      <w:pPr>
        <w:pStyle w:val="10"/>
        <w:spacing w:line="360" w:lineRule="auto"/>
      </w:pPr>
      <w:r>
        <w:rPr>
          <w:rStyle w:val="14"/>
          <w:rFonts w:eastAsia="宋体"/>
          <w:b w:val="0"/>
        </w:rPr>
        <w:t>（二）电磁辐射与地物光谱特征</w:t>
      </w:r>
      <w:r>
        <w:br w:type="textWrapping"/>
      </w:r>
      <w:r>
        <w:rPr>
          <w:rFonts w:eastAsia="宋体"/>
        </w:rPr>
        <w:t xml:space="preserve">    电磁波的基本概念、电磁波谱划分；黑体辐射定律、太阳辐射特征和地球辐射平衡；大气对电磁辐射的影响机制、大气窗口概念和大气校正原理；典型地物（植被、土壤、水体、岩石、雪冰等）的波谱特征和反射机理；地物波谱的测量方法和影响因素。</w:t>
      </w:r>
    </w:p>
    <w:p w14:paraId="5F2366E9">
      <w:pPr>
        <w:pStyle w:val="10"/>
        <w:spacing w:line="360" w:lineRule="auto"/>
      </w:pPr>
      <w:r>
        <w:rPr>
          <w:rStyle w:val="14"/>
          <w:rFonts w:eastAsia="宋体"/>
          <w:b w:val="0"/>
        </w:rPr>
        <w:t>（三）遥感成像原理与遥感图像特征</w:t>
      </w:r>
      <w:r>
        <w:rPr>
          <w:b/>
        </w:rPr>
        <w:br w:type="textWrapping"/>
      </w:r>
      <w:r>
        <w:rPr>
          <w:rFonts w:eastAsia="宋体"/>
        </w:rPr>
        <w:t xml:space="preserve">    遥感成像的基本原理和成像方式；摄影成像、扫描成像和合成孔径雷达成像的技术特点；遥感图像的空间分辨率、光谱分辨率、辐射分辨率和时间分辨率等概念。</w:t>
      </w:r>
    </w:p>
    <w:p w14:paraId="5980468C">
      <w:pPr>
        <w:pStyle w:val="10"/>
        <w:spacing w:line="360" w:lineRule="auto"/>
      </w:pPr>
      <w:r>
        <w:rPr>
          <w:rStyle w:val="14"/>
          <w:rFonts w:eastAsia="宋体"/>
          <w:b w:val="0"/>
        </w:rPr>
        <w:t>（四）遥感图像处理技术</w:t>
      </w:r>
      <w:r>
        <w:br w:type="textWrapping"/>
      </w:r>
      <w:r>
        <w:rPr>
          <w:rFonts w:eastAsia="宋体"/>
        </w:rPr>
        <w:t xml:space="preserve">    遥感数字图像的表示方法和数据格式；遥感图像的几何校正原理、方法；遥感图像的辐射校正和大气校正技术；数字图像增强技术（灰度变换、直方图均衡化、空间滤波、频域增强等）；图像变换技术（主成分变换、缨帽变换等）；多源遥感信息复合和数据融合方法。</w:t>
      </w:r>
    </w:p>
    <w:p w14:paraId="1C9258D4">
      <w:pPr>
        <w:pStyle w:val="10"/>
        <w:spacing w:line="360" w:lineRule="auto"/>
      </w:pPr>
      <w:r>
        <w:rPr>
          <w:rStyle w:val="14"/>
          <w:rFonts w:eastAsia="宋体"/>
          <w:b w:val="0"/>
        </w:rPr>
        <w:t>（五）遥感图像解译</w:t>
      </w:r>
      <w:r>
        <w:br w:type="textWrapping"/>
      </w:r>
      <w:r>
        <w:rPr>
          <w:rFonts w:eastAsia="宋体"/>
        </w:rPr>
        <w:t xml:space="preserve">    遥感图像目视解译和计算机解译的基本原理和解译方法；监督分类和非监督分类的原理和主要方法；特征选择和特征提取方法；遥感图像解译专家系统的组成。</w:t>
      </w:r>
    </w:p>
    <w:p w14:paraId="6CE9ACCA">
      <w:pPr>
        <w:pStyle w:val="10"/>
        <w:spacing w:line="360" w:lineRule="auto"/>
      </w:pPr>
      <w:r>
        <w:rPr>
          <w:rStyle w:val="14"/>
          <w:rFonts w:eastAsia="宋体"/>
          <w:b w:val="0"/>
        </w:rPr>
        <w:t>（六）遥感典型应用</w:t>
      </w:r>
      <w:r>
        <w:rPr>
          <w:b/>
        </w:rPr>
        <w:br w:type="textWrapping"/>
      </w:r>
      <w:r>
        <w:rPr>
          <w:rFonts w:eastAsia="宋体"/>
        </w:rPr>
        <w:t xml:space="preserve">    地质遥感的基本原理和应用方法，包括岩性识别、构造解译和矿物勘探；水体遥感的理论基础和应用技术，涵盖可见光、红外和微波遥感方法；植被遥感的生物物理基础、植被指数和生态参数反演；高光谱遥感的技术特点和定量分析方法；海洋遥感的基本原理和主要应用；环境监测和灾害评估中的遥感应用。</w:t>
      </w:r>
    </w:p>
    <w:p w14:paraId="1310BD8A">
      <w:pPr>
        <w:spacing w:line="360" w:lineRule="auto"/>
        <w:rPr>
          <w:sz w:val="24"/>
          <w:szCs w:val="24"/>
        </w:rPr>
      </w:pPr>
    </w:p>
    <w:p w14:paraId="4A11E7FC">
      <w:pPr>
        <w:spacing w:line="360" w:lineRule="auto"/>
        <w:rPr>
          <w:sz w:val="24"/>
          <w:szCs w:val="24"/>
        </w:rPr>
      </w:pPr>
    </w:p>
    <w:bookmarkEnd w:id="0"/>
    <w:p w14:paraId="25F4CC3B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256FE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2A5B92F3">
    <w:pPr>
      <w:pStyle w:val="6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07159"/>
    <w:rsid w:val="0005306C"/>
    <w:rsid w:val="00063586"/>
    <w:rsid w:val="000635D9"/>
    <w:rsid w:val="000B0B06"/>
    <w:rsid w:val="001E21BF"/>
    <w:rsid w:val="002163EA"/>
    <w:rsid w:val="003076F9"/>
    <w:rsid w:val="00331BB9"/>
    <w:rsid w:val="0035608A"/>
    <w:rsid w:val="00361826"/>
    <w:rsid w:val="003D5A8B"/>
    <w:rsid w:val="00530EBC"/>
    <w:rsid w:val="005D608F"/>
    <w:rsid w:val="005E2269"/>
    <w:rsid w:val="00705E67"/>
    <w:rsid w:val="00732091"/>
    <w:rsid w:val="0073308C"/>
    <w:rsid w:val="007565F4"/>
    <w:rsid w:val="00794D9D"/>
    <w:rsid w:val="008F57B7"/>
    <w:rsid w:val="00943301"/>
    <w:rsid w:val="00954AA8"/>
    <w:rsid w:val="009D3638"/>
    <w:rsid w:val="00D26068"/>
    <w:rsid w:val="00D33DDD"/>
    <w:rsid w:val="00D461B4"/>
    <w:rsid w:val="00E0234C"/>
    <w:rsid w:val="00F70488"/>
    <w:rsid w:val="021358C1"/>
    <w:rsid w:val="074D36CF"/>
    <w:rsid w:val="0BF024F8"/>
    <w:rsid w:val="0C617C65"/>
    <w:rsid w:val="10914580"/>
    <w:rsid w:val="10E962C5"/>
    <w:rsid w:val="125475BE"/>
    <w:rsid w:val="129B61D8"/>
    <w:rsid w:val="136D48AC"/>
    <w:rsid w:val="16467BBB"/>
    <w:rsid w:val="16A27D67"/>
    <w:rsid w:val="174848EB"/>
    <w:rsid w:val="18541252"/>
    <w:rsid w:val="1B850F5C"/>
    <w:rsid w:val="20F47472"/>
    <w:rsid w:val="21E42A58"/>
    <w:rsid w:val="255D3B3D"/>
    <w:rsid w:val="2F2F703D"/>
    <w:rsid w:val="2F7C7FBE"/>
    <w:rsid w:val="2FA03B8C"/>
    <w:rsid w:val="35781E17"/>
    <w:rsid w:val="36046551"/>
    <w:rsid w:val="37F0607D"/>
    <w:rsid w:val="3DF94D62"/>
    <w:rsid w:val="4284046F"/>
    <w:rsid w:val="48852155"/>
    <w:rsid w:val="4B1328B7"/>
    <w:rsid w:val="4E027BF4"/>
    <w:rsid w:val="533A26AB"/>
    <w:rsid w:val="53CF5AC9"/>
    <w:rsid w:val="547D6B2E"/>
    <w:rsid w:val="55944A0F"/>
    <w:rsid w:val="559612BE"/>
    <w:rsid w:val="56AF40CB"/>
    <w:rsid w:val="59062D3D"/>
    <w:rsid w:val="5F593708"/>
    <w:rsid w:val="61C743D6"/>
    <w:rsid w:val="637850BA"/>
    <w:rsid w:val="64EB2AB5"/>
    <w:rsid w:val="6A377A0D"/>
    <w:rsid w:val="6B4179FA"/>
    <w:rsid w:val="6CB95A5F"/>
    <w:rsid w:val="6D41420B"/>
    <w:rsid w:val="6E604605"/>
    <w:rsid w:val="72503EBB"/>
    <w:rsid w:val="74500B07"/>
    <w:rsid w:val="781C50E7"/>
    <w:rsid w:val="7A3572D4"/>
    <w:rsid w:val="7AE55812"/>
    <w:rsid w:val="7C8859C7"/>
    <w:rsid w:val="7E154112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unhideWhenUsed/>
    <w:uiPriority w:val="99"/>
    <w:pPr>
      <w:jc w:val="left"/>
    </w:pPr>
  </w:style>
  <w:style w:type="paragraph" w:styleId="5">
    <w:name w:val="Balloon Text"/>
    <w:basedOn w:val="1"/>
    <w:link w:val="19"/>
    <w:unhideWhenUsed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toc 2"/>
    <w:basedOn w:val="1"/>
    <w:next w:val="1"/>
    <w:unhideWhenUsed/>
    <w:uiPriority w:val="39"/>
    <w:pPr>
      <w:ind w:left="420" w:leftChars="200"/>
    </w:p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</w:rPr>
  </w:style>
  <w:style w:type="paragraph" w:styleId="11">
    <w:name w:val="annotation subject"/>
    <w:basedOn w:val="4"/>
    <w:next w:val="4"/>
    <w:link w:val="22"/>
    <w:unhideWhenUsed/>
    <w:uiPriority w:val="99"/>
    <w:rPr>
      <w:b/>
      <w:bCs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Hyperlink"/>
    <w:unhideWhenUsed/>
    <w:uiPriority w:val="99"/>
    <w:rPr>
      <w:color w:val="0563C1"/>
      <w:u w:val="single"/>
    </w:rPr>
  </w:style>
  <w:style w:type="character" w:styleId="16">
    <w:name w:val="annotation reference"/>
    <w:unhideWhenUsed/>
    <w:uiPriority w:val="99"/>
    <w:rPr>
      <w:sz w:val="21"/>
      <w:szCs w:val="21"/>
    </w:rPr>
  </w:style>
  <w:style w:type="character" w:customStyle="1" w:styleId="17">
    <w:name w:val="标题 2 字符"/>
    <w:link w:val="3"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8">
    <w:name w:val="批注文字 字符"/>
    <w:link w:val="4"/>
    <w:uiPriority w:val="99"/>
    <w:rPr>
      <w:kern w:val="2"/>
      <w:sz w:val="21"/>
      <w:szCs w:val="22"/>
    </w:rPr>
  </w:style>
  <w:style w:type="character" w:customStyle="1" w:styleId="19">
    <w:name w:val="批注框文本 字符"/>
    <w:link w:val="5"/>
    <w:semiHidden/>
    <w:uiPriority w:val="99"/>
    <w:rPr>
      <w:kern w:val="2"/>
      <w:sz w:val="18"/>
      <w:szCs w:val="18"/>
    </w:rPr>
  </w:style>
  <w:style w:type="character" w:customStyle="1" w:styleId="20">
    <w:name w:val="页脚 字符"/>
    <w:link w:val="6"/>
    <w:uiPriority w:val="99"/>
    <w:rPr>
      <w:sz w:val="18"/>
      <w:szCs w:val="18"/>
    </w:rPr>
  </w:style>
  <w:style w:type="character" w:customStyle="1" w:styleId="21">
    <w:name w:val="页眉 字符"/>
    <w:link w:val="7"/>
    <w:semiHidden/>
    <w:uiPriority w:val="99"/>
    <w:rPr>
      <w:sz w:val="18"/>
      <w:szCs w:val="18"/>
    </w:rPr>
  </w:style>
  <w:style w:type="character" w:customStyle="1" w:styleId="22">
    <w:name w:val="批注主题 字符"/>
    <w:link w:val="11"/>
    <w:semiHidden/>
    <w:uiPriority w:val="99"/>
    <w:rPr>
      <w:b/>
      <w:bCs/>
      <w:kern w:val="2"/>
      <w:sz w:val="21"/>
      <w:szCs w:val="22"/>
    </w:rPr>
  </w:style>
  <w:style w:type="paragraph" w:customStyle="1" w:styleId="23">
    <w:name w:val="_Style 2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 w:eastAsia="宋体" w:cs="Times New Roman"/>
      <w:b w:val="0"/>
      <w:bCs w:val="0"/>
      <w:color w:val="2E74B5"/>
      <w:kern w:val="0"/>
      <w:sz w:val="32"/>
      <w:szCs w:val="32"/>
    </w:rPr>
  </w:style>
  <w:style w:type="paragraph" w:customStyle="1" w:styleId="24">
    <w:name w:val="大标题"/>
    <w:basedOn w:val="2"/>
    <w:qFormat/>
    <w:uiPriority w:val="0"/>
    <w:pPr>
      <w:outlineLvl w:val="1"/>
    </w:pPr>
    <w:rPr>
      <w:rFonts w:ascii="黑体" w:hAnsi="黑体" w:eastAsia="黑体" w:cs="黑体"/>
      <w:b w:val="0"/>
      <w:bCs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850</Words>
  <Characters>861</Characters>
  <Lines>147</Lines>
  <Paragraphs>41</Paragraphs>
  <TotalTime>1</TotalTime>
  <ScaleCrop>false</ScaleCrop>
  <LinksUpToDate>false</LinksUpToDate>
  <CharactersWithSpaces>898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李坤伦</cp:lastModifiedBy>
  <dcterms:modified xsi:type="dcterms:W3CDTF">2026-07-01T01:56:30Z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E1F6CE5073CF4FCEA25C758DD2823067_13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