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90A70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349 药学综合</w:t>
      </w:r>
    </w:p>
    <w:p w14:paraId="69E4C09C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67C702B4">
      <w:pPr>
        <w:spacing w:line="360" w:lineRule="auto"/>
        <w:ind w:firstLine="513" w:firstLineChars="214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《</w:t>
      </w:r>
      <w:r>
        <w:rPr>
          <w:rFonts w:ascii="宋体" w:hAnsi="宋体"/>
          <w:sz w:val="24"/>
        </w:rPr>
        <w:t>药学综合</w:t>
      </w:r>
      <w:r>
        <w:rPr>
          <w:rFonts w:hint="eastAsia" w:ascii="宋体" w:hAnsi="宋体"/>
          <w:sz w:val="24"/>
        </w:rPr>
        <w:t xml:space="preserve">》是药学专业学位硕士研究生入学初试的专业基础考试。 </w:t>
      </w:r>
    </w:p>
    <w:p w14:paraId="60B6AF8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1CA9A81F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要求考生</w:t>
      </w:r>
      <w:r>
        <w:rPr>
          <w:rFonts w:hint="eastAsia" w:ascii="宋体" w:hAnsi="宋体"/>
          <w:sz w:val="24"/>
        </w:rPr>
        <w:t>系统理解和</w:t>
      </w:r>
      <w:r>
        <w:rPr>
          <w:rFonts w:ascii="宋体" w:hAnsi="宋体"/>
          <w:sz w:val="24"/>
        </w:rPr>
        <w:t>掌握药物化学、药理学、 药剂学、药物分析学的基础理论、基本知识和基本技能，</w:t>
      </w:r>
      <w:r>
        <w:rPr>
          <w:rFonts w:hint="eastAsia"/>
          <w:sz w:val="24"/>
          <w:szCs w:val="24"/>
        </w:rPr>
        <w:t>了解各学科的相关进展，</w:t>
      </w:r>
      <w:r>
        <w:rPr>
          <w:rFonts w:ascii="宋体" w:hAnsi="宋体"/>
          <w:sz w:val="24"/>
        </w:rPr>
        <w:t>具备较强的分析与解决实际问题的能力。</w:t>
      </w:r>
    </w:p>
    <w:p w14:paraId="58773C8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374022CF">
      <w:pPr>
        <w:spacing w:line="360" w:lineRule="auto"/>
        <w:ind w:firstLine="480" w:firstLineChars="200"/>
        <w:rPr>
          <w:rFonts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</w:rPr>
        <w:t>本考试为闭卷考试，满分为300分，考试时间为180分钟。</w:t>
      </w:r>
    </w:p>
    <w:p w14:paraId="197D8C05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  <w:bookmarkStart w:id="0" w:name="_GoBack"/>
      <w:bookmarkEnd w:id="0"/>
    </w:p>
    <w:p w14:paraId="46D0E25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《药学综合</w:t>
      </w:r>
      <w:r>
        <w:rPr>
          <w:rFonts w:hint="eastAsia" w:ascii="宋体" w:hAnsi="宋体"/>
          <w:sz w:val="24"/>
        </w:rPr>
        <w:t>》</w:t>
      </w:r>
      <w:r>
        <w:rPr>
          <w:rFonts w:ascii="宋体" w:hAnsi="宋体"/>
          <w:sz w:val="24"/>
        </w:rPr>
        <w:t>含</w:t>
      </w:r>
      <w:r>
        <w:rPr>
          <w:rFonts w:hint="eastAsia" w:ascii="宋体" w:hAnsi="宋体"/>
          <w:sz w:val="24"/>
        </w:rPr>
        <w:t>《</w:t>
      </w:r>
      <w:r>
        <w:rPr>
          <w:rFonts w:ascii="宋体" w:hAnsi="宋体"/>
          <w:sz w:val="24"/>
        </w:rPr>
        <w:t>药物化学</w:t>
      </w:r>
      <w:r>
        <w:rPr>
          <w:rFonts w:hint="eastAsia" w:ascii="宋体" w:hAnsi="宋体"/>
          <w:sz w:val="24"/>
        </w:rPr>
        <w:t>》部分</w:t>
      </w:r>
      <w:r>
        <w:rPr>
          <w:rFonts w:ascii="宋体" w:hAnsi="宋体"/>
          <w:sz w:val="24"/>
        </w:rPr>
        <w:t>10</w:t>
      </w:r>
      <w:r>
        <w:rPr>
          <w:rFonts w:hint="eastAsia" w:ascii="宋体" w:hAnsi="宋体"/>
          <w:sz w:val="24"/>
        </w:rPr>
        <w:t>0</w:t>
      </w:r>
      <w:r>
        <w:rPr>
          <w:rFonts w:ascii="宋体" w:hAnsi="宋体"/>
          <w:sz w:val="24"/>
        </w:rPr>
        <w:t xml:space="preserve"> 分、</w:t>
      </w:r>
      <w:r>
        <w:rPr>
          <w:rFonts w:hint="eastAsia" w:ascii="宋体" w:hAnsi="宋体"/>
          <w:sz w:val="24"/>
        </w:rPr>
        <w:t>《</w:t>
      </w:r>
      <w:r>
        <w:rPr>
          <w:rFonts w:ascii="宋体" w:hAnsi="宋体"/>
          <w:sz w:val="24"/>
        </w:rPr>
        <w:t>药理学</w:t>
      </w:r>
      <w:r>
        <w:rPr>
          <w:rFonts w:hint="eastAsia" w:ascii="宋体" w:hAnsi="宋体"/>
          <w:sz w:val="24"/>
        </w:rPr>
        <w:t>》部分</w:t>
      </w:r>
      <w:r>
        <w:rPr>
          <w:rFonts w:ascii="宋体" w:hAnsi="宋体"/>
          <w:sz w:val="24"/>
        </w:rPr>
        <w:t xml:space="preserve"> 10</w:t>
      </w:r>
      <w:r>
        <w:rPr>
          <w:rFonts w:hint="eastAsia" w:ascii="宋体" w:hAnsi="宋体"/>
          <w:sz w:val="24"/>
        </w:rPr>
        <w:t>0</w:t>
      </w:r>
      <w:r>
        <w:rPr>
          <w:rFonts w:ascii="宋体" w:hAnsi="宋体"/>
          <w:sz w:val="24"/>
        </w:rPr>
        <w:t xml:space="preserve"> 分、</w:t>
      </w:r>
      <w:r>
        <w:rPr>
          <w:rFonts w:hint="eastAsia" w:ascii="宋体" w:hAnsi="宋体"/>
          <w:sz w:val="24"/>
        </w:rPr>
        <w:t>《</w:t>
      </w:r>
      <w:r>
        <w:rPr>
          <w:rFonts w:ascii="宋体" w:hAnsi="宋体"/>
          <w:sz w:val="24"/>
        </w:rPr>
        <w:t>药剂学</w:t>
      </w:r>
      <w:r>
        <w:rPr>
          <w:rFonts w:hint="eastAsia" w:ascii="宋体" w:hAnsi="宋体"/>
          <w:sz w:val="24"/>
        </w:rPr>
        <w:t>》部分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50</w:t>
      </w:r>
      <w:r>
        <w:rPr>
          <w:rFonts w:ascii="宋体" w:hAnsi="宋体"/>
          <w:sz w:val="24"/>
        </w:rPr>
        <w:t xml:space="preserve"> 分、</w:t>
      </w:r>
      <w:r>
        <w:rPr>
          <w:rFonts w:hint="eastAsia" w:ascii="宋体" w:hAnsi="宋体"/>
          <w:sz w:val="24"/>
        </w:rPr>
        <w:t>《</w:t>
      </w:r>
      <w:r>
        <w:rPr>
          <w:rFonts w:ascii="宋体" w:hAnsi="宋体"/>
          <w:sz w:val="24"/>
        </w:rPr>
        <w:t>药物分析学</w:t>
      </w:r>
      <w:r>
        <w:rPr>
          <w:rFonts w:hint="eastAsia" w:ascii="宋体" w:hAnsi="宋体"/>
          <w:sz w:val="24"/>
        </w:rPr>
        <w:t>》部分</w:t>
      </w:r>
      <w:r>
        <w:rPr>
          <w:rFonts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t>50</w:t>
      </w:r>
      <w:r>
        <w:rPr>
          <w:rFonts w:ascii="宋体" w:hAnsi="宋体"/>
          <w:sz w:val="24"/>
        </w:rPr>
        <w:t xml:space="preserve"> 分</w:t>
      </w:r>
      <w:r>
        <w:rPr>
          <w:rFonts w:hint="eastAsia" w:ascii="宋体" w:hAnsi="宋体"/>
          <w:sz w:val="24"/>
        </w:rPr>
        <w:t>。</w:t>
      </w:r>
    </w:p>
    <w:p w14:paraId="31868957">
      <w:pPr>
        <w:spacing w:line="360" w:lineRule="auto"/>
        <w:ind w:firstLine="480" w:firstLineChars="200"/>
        <w:rPr>
          <w:rFonts w:ascii="宋体" w:hAnsi="宋体"/>
          <w:b/>
          <w:sz w:val="24"/>
        </w:rPr>
      </w:pP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.</w:t>
      </w:r>
      <w:r>
        <w:rPr>
          <w:rFonts w:hint="eastAsia" w:ascii="宋体" w:hAnsi="宋体"/>
          <w:b/>
          <w:sz w:val="24"/>
        </w:rPr>
        <w:t>《</w:t>
      </w:r>
      <w:r>
        <w:rPr>
          <w:rFonts w:ascii="宋体" w:hAnsi="宋体"/>
          <w:b/>
          <w:sz w:val="24"/>
        </w:rPr>
        <w:t>药物化学</w:t>
      </w:r>
      <w:r>
        <w:rPr>
          <w:rFonts w:hint="eastAsia" w:ascii="宋体" w:hAnsi="宋体"/>
          <w:b/>
          <w:sz w:val="24"/>
        </w:rPr>
        <w:t>》部分</w:t>
      </w:r>
    </w:p>
    <w:p w14:paraId="35628E78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（1）药物化学</w:t>
      </w:r>
      <w:r>
        <w:rPr>
          <w:rFonts w:hint="eastAsia" w:ascii="宋体" w:hAnsi="宋体"/>
          <w:sz w:val="24"/>
        </w:rPr>
        <w:t>与新药研究</w:t>
      </w:r>
      <w:r>
        <w:rPr>
          <w:rFonts w:ascii="宋体" w:hAnsi="宋体"/>
          <w:sz w:val="24"/>
        </w:rPr>
        <w:t>所涉及的基本概念</w:t>
      </w:r>
      <w:r>
        <w:rPr>
          <w:rFonts w:hint="eastAsia" w:ascii="宋体" w:hAnsi="宋体"/>
          <w:sz w:val="24"/>
        </w:rPr>
        <w:t>、</w:t>
      </w:r>
      <w:r>
        <w:rPr>
          <w:rFonts w:ascii="宋体" w:hAnsi="宋体"/>
          <w:sz w:val="24"/>
        </w:rPr>
        <w:t>原理</w:t>
      </w:r>
      <w:r>
        <w:rPr>
          <w:rFonts w:hint="eastAsia" w:ascii="宋体" w:hAnsi="宋体"/>
          <w:sz w:val="24"/>
        </w:rPr>
        <w:t>和方法。</w:t>
      </w:r>
      <w:r>
        <w:rPr>
          <w:rFonts w:ascii="宋体" w:hAnsi="宋体"/>
          <w:sz w:val="24"/>
        </w:rPr>
        <w:t xml:space="preserve"> </w:t>
      </w:r>
    </w:p>
    <w:p w14:paraId="08D0FE07">
      <w:pPr>
        <w:spacing w:line="360" w:lineRule="auto"/>
        <w:ind w:left="1133" w:leftChars="229" w:hanging="652" w:hangingChars="272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（2）</w:t>
      </w:r>
      <w:r>
        <w:rPr>
          <w:rFonts w:hint="eastAsia" w:ascii="宋体" w:hAnsi="宋体"/>
          <w:sz w:val="24"/>
        </w:rPr>
        <w:t>各系统</w:t>
      </w:r>
      <w:r>
        <w:rPr>
          <w:rFonts w:ascii="宋体" w:hAnsi="宋体"/>
          <w:sz w:val="24"/>
        </w:rPr>
        <w:t>药物的</w:t>
      </w:r>
      <w:r>
        <w:rPr>
          <w:rFonts w:hint="eastAsia" w:ascii="宋体" w:hAnsi="宋体"/>
          <w:sz w:val="24"/>
        </w:rPr>
        <w:t>设计、研发、</w:t>
      </w:r>
      <w:r>
        <w:rPr>
          <w:rFonts w:ascii="宋体" w:hAnsi="宋体"/>
          <w:sz w:val="24"/>
        </w:rPr>
        <w:t>结构</w:t>
      </w:r>
      <w:r>
        <w:rPr>
          <w:rFonts w:hint="eastAsia" w:ascii="宋体" w:hAnsi="宋体"/>
          <w:sz w:val="24"/>
        </w:rPr>
        <w:t>类型、</w:t>
      </w:r>
      <w:r>
        <w:rPr>
          <w:rFonts w:ascii="宋体" w:hAnsi="宋体"/>
          <w:sz w:val="24"/>
        </w:rPr>
        <w:t>构效关系</w:t>
      </w:r>
      <w:r>
        <w:rPr>
          <w:rFonts w:hint="eastAsia" w:ascii="宋体" w:hAnsi="宋体"/>
          <w:sz w:val="24"/>
        </w:rPr>
        <w:t>和结构优化策略等。</w:t>
      </w:r>
    </w:p>
    <w:p w14:paraId="4CFCDD58">
      <w:pPr>
        <w:spacing w:line="360" w:lineRule="auto"/>
        <w:ind w:left="1133" w:leftChars="229" w:hanging="652" w:hangingChars="272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（3）代表性</w:t>
      </w:r>
      <w:r>
        <w:rPr>
          <w:rFonts w:ascii="宋体" w:hAnsi="宋体"/>
          <w:sz w:val="24"/>
        </w:rPr>
        <w:t>药物的结构</w:t>
      </w:r>
      <w:r>
        <w:rPr>
          <w:rFonts w:hint="eastAsia" w:ascii="宋体" w:hAnsi="宋体"/>
          <w:sz w:val="24"/>
        </w:rPr>
        <w:t>、合成方法及其</w:t>
      </w:r>
      <w:r>
        <w:rPr>
          <w:rFonts w:ascii="宋体" w:hAnsi="宋体"/>
          <w:sz w:val="24"/>
        </w:rPr>
        <w:t>作用机理、临床用途及体内代谢等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 xml:space="preserve"> </w:t>
      </w:r>
    </w:p>
    <w:p w14:paraId="596929DB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hint="eastAsia" w:ascii="宋体" w:hAnsi="宋体"/>
          <w:sz w:val="24"/>
        </w:rPr>
        <w:t>.</w:t>
      </w:r>
      <w:r>
        <w:rPr>
          <w:rFonts w:hint="eastAsia" w:ascii="宋体" w:hAnsi="宋体"/>
          <w:b/>
          <w:sz w:val="24"/>
        </w:rPr>
        <w:t>《</w:t>
      </w:r>
      <w:r>
        <w:rPr>
          <w:rFonts w:ascii="宋体" w:hAnsi="宋体"/>
          <w:b/>
          <w:sz w:val="24"/>
        </w:rPr>
        <w:t>药理学</w:t>
      </w:r>
      <w:r>
        <w:rPr>
          <w:rFonts w:hint="eastAsia" w:ascii="宋体" w:hAnsi="宋体"/>
          <w:b/>
          <w:sz w:val="24"/>
        </w:rPr>
        <w:t>》部分</w:t>
      </w:r>
    </w:p>
    <w:p w14:paraId="53264C0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（1）药理学与新药研究的基本概念、内容及方法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ascii="宋体" w:hAnsi="宋体"/>
          <w:sz w:val="24"/>
          <w:szCs w:val="24"/>
        </w:rPr>
        <w:t xml:space="preserve"> </w:t>
      </w:r>
    </w:p>
    <w:p w14:paraId="2A8DEC4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（2）药物吸收、分布、代谢与排泄的基本过程及其影响因素</w:t>
      </w:r>
      <w:r>
        <w:rPr>
          <w:rFonts w:hint="eastAsia" w:ascii="宋体" w:hAnsi="宋体"/>
          <w:sz w:val="24"/>
          <w:szCs w:val="24"/>
        </w:rPr>
        <w:t>。</w:t>
      </w:r>
    </w:p>
    <w:p w14:paraId="355A45D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（3）药物的基本作用</w:t>
      </w:r>
      <w:r>
        <w:rPr>
          <w:rFonts w:hint="eastAsia" w:ascii="宋体" w:hAnsi="宋体"/>
          <w:sz w:val="24"/>
          <w:szCs w:val="24"/>
        </w:rPr>
        <w:t>方式</w:t>
      </w:r>
      <w:r>
        <w:rPr>
          <w:rFonts w:ascii="宋体" w:hAnsi="宋体"/>
          <w:sz w:val="24"/>
          <w:szCs w:val="24"/>
        </w:rPr>
        <w:t>，各系统</w:t>
      </w:r>
      <w:r>
        <w:rPr>
          <w:rFonts w:hint="eastAsia" w:ascii="宋体" w:hAnsi="宋体"/>
          <w:sz w:val="24"/>
          <w:szCs w:val="24"/>
        </w:rPr>
        <w:t>经典</w:t>
      </w:r>
      <w:r>
        <w:rPr>
          <w:rFonts w:ascii="宋体" w:hAnsi="宋体"/>
          <w:sz w:val="24"/>
          <w:szCs w:val="24"/>
        </w:rPr>
        <w:t>代表药物的</w:t>
      </w:r>
      <w:r>
        <w:rPr>
          <w:rFonts w:hint="eastAsia" w:ascii="宋体" w:hAnsi="宋体"/>
          <w:sz w:val="24"/>
          <w:szCs w:val="24"/>
        </w:rPr>
        <w:t>药理</w:t>
      </w:r>
      <w:r>
        <w:rPr>
          <w:rFonts w:ascii="宋体" w:hAnsi="宋体"/>
          <w:sz w:val="24"/>
          <w:szCs w:val="24"/>
        </w:rPr>
        <w:t>作用与作用机制。</w:t>
      </w:r>
    </w:p>
    <w:p w14:paraId="23819ABA">
      <w:pPr>
        <w:spacing w:line="360" w:lineRule="auto"/>
        <w:ind w:firstLine="480" w:firstLineChars="200"/>
        <w:rPr>
          <w:rFonts w:ascii="宋体" w:hAnsi="宋体"/>
          <w:b/>
          <w:sz w:val="24"/>
        </w:rPr>
      </w:pP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.</w:t>
      </w:r>
      <w:r>
        <w:rPr>
          <w:rFonts w:hint="eastAsia" w:ascii="宋体" w:hAnsi="宋体"/>
          <w:b/>
          <w:sz w:val="24"/>
        </w:rPr>
        <w:t>《</w:t>
      </w:r>
      <w:r>
        <w:rPr>
          <w:rFonts w:ascii="宋体" w:hAnsi="宋体"/>
          <w:b/>
          <w:sz w:val="24"/>
        </w:rPr>
        <w:t>药剂学</w:t>
      </w:r>
      <w:r>
        <w:rPr>
          <w:rFonts w:hint="eastAsia" w:ascii="宋体" w:hAnsi="宋体"/>
          <w:b/>
          <w:sz w:val="24"/>
        </w:rPr>
        <w:t>》部分</w:t>
      </w:r>
    </w:p>
    <w:p w14:paraId="20BA060A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（1）药物制剂的基本概念、理论、剂型和技术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 xml:space="preserve"> </w:t>
      </w:r>
    </w:p>
    <w:p w14:paraId="66CA1119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（2）新药研究中所涉及的药剂学技术与方法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 xml:space="preserve"> </w:t>
      </w:r>
    </w:p>
    <w:p w14:paraId="642F517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（3）药物制剂的新技术</w:t>
      </w:r>
      <w:r>
        <w:rPr>
          <w:rFonts w:hint="eastAsia" w:ascii="宋体" w:hAnsi="宋体"/>
          <w:sz w:val="24"/>
        </w:rPr>
        <w:t>、新载体</w:t>
      </w:r>
      <w:r>
        <w:rPr>
          <w:rFonts w:ascii="宋体" w:hAnsi="宋体"/>
          <w:sz w:val="24"/>
        </w:rPr>
        <w:t xml:space="preserve">与新剂型进展。 </w:t>
      </w:r>
    </w:p>
    <w:p w14:paraId="1F248274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4</w:t>
      </w:r>
      <w:r>
        <w:rPr>
          <w:rFonts w:hint="eastAsia" w:ascii="宋体" w:hAnsi="宋体"/>
          <w:sz w:val="24"/>
        </w:rPr>
        <w:t>.</w:t>
      </w:r>
      <w:r>
        <w:rPr>
          <w:rFonts w:hint="eastAsia" w:ascii="宋体" w:hAnsi="宋体"/>
          <w:b/>
          <w:sz w:val="24"/>
        </w:rPr>
        <w:t>《</w:t>
      </w:r>
      <w:r>
        <w:rPr>
          <w:rFonts w:ascii="宋体" w:hAnsi="宋体"/>
          <w:b/>
          <w:sz w:val="24"/>
        </w:rPr>
        <w:t>药物分析学</w:t>
      </w:r>
      <w:r>
        <w:rPr>
          <w:rFonts w:hint="eastAsia" w:ascii="宋体" w:hAnsi="宋体"/>
          <w:b/>
          <w:sz w:val="24"/>
        </w:rPr>
        <w:t>》部分</w:t>
      </w:r>
      <w:r>
        <w:rPr>
          <w:rFonts w:ascii="宋体" w:hAnsi="宋体"/>
          <w:b/>
          <w:sz w:val="24"/>
        </w:rPr>
        <w:t xml:space="preserve"> </w:t>
      </w:r>
    </w:p>
    <w:p w14:paraId="7FC23F81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（1）药品质量研究的内容与药典的基本组成及正确使用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 xml:space="preserve"> </w:t>
      </w:r>
    </w:p>
    <w:p w14:paraId="189FB6A9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（2）药物的鉴别，杂质检查与含量测定的原理与方法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 xml:space="preserve"> </w:t>
      </w:r>
    </w:p>
    <w:p w14:paraId="73CE60F6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（3）体内药物分析中样品的前处理方法和体内药物分析方法验证</w:t>
      </w:r>
      <w:r>
        <w:rPr>
          <w:rFonts w:hint="eastAsia" w:ascii="宋体" w:hAnsi="宋体"/>
          <w:sz w:val="24"/>
        </w:rPr>
        <w:t>。</w:t>
      </w:r>
      <w:r>
        <w:rPr>
          <w:rFonts w:ascii="宋体" w:hAnsi="宋体"/>
          <w:sz w:val="24"/>
        </w:rPr>
        <w:t xml:space="preserve"> </w:t>
      </w:r>
    </w:p>
    <w:p w14:paraId="3AD21B0D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ascii="宋体" w:hAnsi="宋体"/>
          <w:sz w:val="24"/>
        </w:rPr>
        <w:t>（4）</w:t>
      </w:r>
      <w:r>
        <w:rPr>
          <w:rFonts w:hint="eastAsia" w:ascii="宋体" w:hAnsi="宋体"/>
          <w:sz w:val="24"/>
        </w:rPr>
        <w:t>药物分析</w:t>
      </w:r>
      <w:r>
        <w:rPr>
          <w:rFonts w:ascii="宋体" w:hAnsi="宋体"/>
          <w:sz w:val="24"/>
        </w:rPr>
        <w:t>新技术的原理，特点和应用等。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42869805"/>
      <w:docPartObj>
        <w:docPartGallery w:val="AutoText"/>
      </w:docPartObj>
    </w:sdtPr>
    <w:sdtContent>
      <w:p w14:paraId="5490A386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A642CB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5ZWE4ODc5NWI5ZjMyNzkyNDhhM2VkNDU3NDBhYjUifQ=="/>
  </w:docVars>
  <w:rsids>
    <w:rsidRoot w:val="00172A27"/>
    <w:rsid w:val="0000096D"/>
    <w:rsid w:val="0005306C"/>
    <w:rsid w:val="000673F1"/>
    <w:rsid w:val="000820C3"/>
    <w:rsid w:val="000C3856"/>
    <w:rsid w:val="001066AA"/>
    <w:rsid w:val="00106F01"/>
    <w:rsid w:val="0013324A"/>
    <w:rsid w:val="0015225F"/>
    <w:rsid w:val="00172A27"/>
    <w:rsid w:val="00190734"/>
    <w:rsid w:val="00197BA5"/>
    <w:rsid w:val="001A2FC0"/>
    <w:rsid w:val="001B6A04"/>
    <w:rsid w:val="001C7C42"/>
    <w:rsid w:val="001D7FE6"/>
    <w:rsid w:val="0022238D"/>
    <w:rsid w:val="0022530F"/>
    <w:rsid w:val="00232A9B"/>
    <w:rsid w:val="002436F9"/>
    <w:rsid w:val="00265353"/>
    <w:rsid w:val="00285B87"/>
    <w:rsid w:val="002A4D28"/>
    <w:rsid w:val="002B4BD9"/>
    <w:rsid w:val="002E3FA8"/>
    <w:rsid w:val="00304933"/>
    <w:rsid w:val="00326AE3"/>
    <w:rsid w:val="00331B7D"/>
    <w:rsid w:val="00355B6F"/>
    <w:rsid w:val="00381694"/>
    <w:rsid w:val="0038703C"/>
    <w:rsid w:val="003914EC"/>
    <w:rsid w:val="003918F6"/>
    <w:rsid w:val="00392F50"/>
    <w:rsid w:val="00394FDD"/>
    <w:rsid w:val="003A6D5E"/>
    <w:rsid w:val="003C0AAA"/>
    <w:rsid w:val="003D5A8B"/>
    <w:rsid w:val="003D6EEF"/>
    <w:rsid w:val="004058EF"/>
    <w:rsid w:val="00487539"/>
    <w:rsid w:val="005055F2"/>
    <w:rsid w:val="00530EBC"/>
    <w:rsid w:val="00553CE9"/>
    <w:rsid w:val="00571C63"/>
    <w:rsid w:val="005810DC"/>
    <w:rsid w:val="005A1AD8"/>
    <w:rsid w:val="005B26A8"/>
    <w:rsid w:val="005C1235"/>
    <w:rsid w:val="005D608F"/>
    <w:rsid w:val="005E2269"/>
    <w:rsid w:val="00602055"/>
    <w:rsid w:val="0060670C"/>
    <w:rsid w:val="0061262B"/>
    <w:rsid w:val="00624065"/>
    <w:rsid w:val="006255AC"/>
    <w:rsid w:val="0063514E"/>
    <w:rsid w:val="006C28B9"/>
    <w:rsid w:val="006C6C21"/>
    <w:rsid w:val="006E0F36"/>
    <w:rsid w:val="006E7493"/>
    <w:rsid w:val="006F1958"/>
    <w:rsid w:val="00722572"/>
    <w:rsid w:val="007474DE"/>
    <w:rsid w:val="00776235"/>
    <w:rsid w:val="007E2F35"/>
    <w:rsid w:val="007F2AE5"/>
    <w:rsid w:val="00813ACD"/>
    <w:rsid w:val="00867992"/>
    <w:rsid w:val="0087337C"/>
    <w:rsid w:val="00873FC2"/>
    <w:rsid w:val="008A0808"/>
    <w:rsid w:val="008A2EDC"/>
    <w:rsid w:val="008C082B"/>
    <w:rsid w:val="008D3DF1"/>
    <w:rsid w:val="008F57B7"/>
    <w:rsid w:val="00906F04"/>
    <w:rsid w:val="0091259F"/>
    <w:rsid w:val="00932E14"/>
    <w:rsid w:val="00935C7A"/>
    <w:rsid w:val="00972C1C"/>
    <w:rsid w:val="009B5948"/>
    <w:rsid w:val="009C558A"/>
    <w:rsid w:val="009D558F"/>
    <w:rsid w:val="00A15F9E"/>
    <w:rsid w:val="00A20906"/>
    <w:rsid w:val="00A22DA3"/>
    <w:rsid w:val="00A60436"/>
    <w:rsid w:val="00A80F43"/>
    <w:rsid w:val="00A947E9"/>
    <w:rsid w:val="00A963F6"/>
    <w:rsid w:val="00AB1858"/>
    <w:rsid w:val="00AB25B7"/>
    <w:rsid w:val="00AB4D8F"/>
    <w:rsid w:val="00AE7F68"/>
    <w:rsid w:val="00AF3888"/>
    <w:rsid w:val="00B02790"/>
    <w:rsid w:val="00B06136"/>
    <w:rsid w:val="00B06D76"/>
    <w:rsid w:val="00B123AC"/>
    <w:rsid w:val="00B1295C"/>
    <w:rsid w:val="00B31989"/>
    <w:rsid w:val="00B842FE"/>
    <w:rsid w:val="00B8460D"/>
    <w:rsid w:val="00B90DA4"/>
    <w:rsid w:val="00B94327"/>
    <w:rsid w:val="00B9611D"/>
    <w:rsid w:val="00BA2CAB"/>
    <w:rsid w:val="00BA3683"/>
    <w:rsid w:val="00BC24F1"/>
    <w:rsid w:val="00BD45CA"/>
    <w:rsid w:val="00BE0573"/>
    <w:rsid w:val="00C16DE5"/>
    <w:rsid w:val="00C45D7F"/>
    <w:rsid w:val="00C46536"/>
    <w:rsid w:val="00C62FD0"/>
    <w:rsid w:val="00C741E4"/>
    <w:rsid w:val="00C94B59"/>
    <w:rsid w:val="00D27334"/>
    <w:rsid w:val="00D34B82"/>
    <w:rsid w:val="00D4026F"/>
    <w:rsid w:val="00D402E9"/>
    <w:rsid w:val="00D46D71"/>
    <w:rsid w:val="00D609E9"/>
    <w:rsid w:val="00D64F95"/>
    <w:rsid w:val="00D81CB0"/>
    <w:rsid w:val="00DB51C0"/>
    <w:rsid w:val="00E625DE"/>
    <w:rsid w:val="00EA0D69"/>
    <w:rsid w:val="00ED0AE3"/>
    <w:rsid w:val="00EF148A"/>
    <w:rsid w:val="00EF343F"/>
    <w:rsid w:val="00F54867"/>
    <w:rsid w:val="00F70488"/>
    <w:rsid w:val="00F76049"/>
    <w:rsid w:val="00FB2AB1"/>
    <w:rsid w:val="00FC3967"/>
    <w:rsid w:val="00FC3D2F"/>
    <w:rsid w:val="00FD3B84"/>
    <w:rsid w:val="00FE6CF7"/>
    <w:rsid w:val="0C617C65"/>
    <w:rsid w:val="129B61D8"/>
    <w:rsid w:val="136D48AC"/>
    <w:rsid w:val="16A27D67"/>
    <w:rsid w:val="174848EB"/>
    <w:rsid w:val="18541252"/>
    <w:rsid w:val="1B850F5C"/>
    <w:rsid w:val="20F47472"/>
    <w:rsid w:val="21E42A58"/>
    <w:rsid w:val="255D3B3D"/>
    <w:rsid w:val="2F2F703D"/>
    <w:rsid w:val="2F7C7FBE"/>
    <w:rsid w:val="2FA03B8C"/>
    <w:rsid w:val="36046551"/>
    <w:rsid w:val="37F0607D"/>
    <w:rsid w:val="3DF94D62"/>
    <w:rsid w:val="4B1328B7"/>
    <w:rsid w:val="4E027BF4"/>
    <w:rsid w:val="533A26AB"/>
    <w:rsid w:val="53CF5AC9"/>
    <w:rsid w:val="55944A0F"/>
    <w:rsid w:val="56AF40CB"/>
    <w:rsid w:val="57000B13"/>
    <w:rsid w:val="5F593708"/>
    <w:rsid w:val="61C743D6"/>
    <w:rsid w:val="637850BA"/>
    <w:rsid w:val="64EB2AB5"/>
    <w:rsid w:val="659D3466"/>
    <w:rsid w:val="6CB95A5F"/>
    <w:rsid w:val="6D41420B"/>
    <w:rsid w:val="6E604605"/>
    <w:rsid w:val="6ECB1072"/>
    <w:rsid w:val="74500B07"/>
    <w:rsid w:val="781C50E7"/>
    <w:rsid w:val="7AE55812"/>
    <w:rsid w:val="7ED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rPr>
      <w:rFonts w:ascii="Calibri" w:hAnsi="Calibri"/>
    </w:rPr>
  </w:style>
  <w:style w:type="paragraph" w:styleId="7">
    <w:name w:val="annotation subject"/>
    <w:basedOn w:val="2"/>
    <w:next w:val="2"/>
    <w:link w:val="15"/>
    <w:unhideWhenUsed/>
    <w:qFormat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qFormat/>
    <w:uiPriority w:val="99"/>
    <w:rPr>
      <w:kern w:val="2"/>
      <w:sz w:val="21"/>
      <w:szCs w:val="22"/>
    </w:rPr>
  </w:style>
  <w:style w:type="character" w:customStyle="1" w:styleId="12">
    <w:name w:val="批注框文本 字符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页脚 字符"/>
    <w:link w:val="4"/>
    <w:qFormat/>
    <w:uiPriority w:val="99"/>
    <w:rPr>
      <w:sz w:val="18"/>
      <w:szCs w:val="18"/>
    </w:rPr>
  </w:style>
  <w:style w:type="character" w:customStyle="1" w:styleId="14">
    <w:name w:val="页眉 字符"/>
    <w:link w:val="5"/>
    <w:qFormat/>
    <w:uiPriority w:val="99"/>
    <w:rPr>
      <w:sz w:val="18"/>
      <w:szCs w:val="18"/>
    </w:rPr>
  </w:style>
  <w:style w:type="character" w:customStyle="1" w:styleId="15">
    <w:name w:val="批注主题 字符"/>
    <w:link w:val="7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29D71-BA8F-4D7D-A911-EACB7629FB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618</Words>
  <Characters>637</Characters>
  <Lines>5</Lines>
  <Paragraphs>1</Paragraphs>
  <TotalTime>7</TotalTime>
  <ScaleCrop>false</ScaleCrop>
  <LinksUpToDate>false</LinksUpToDate>
  <CharactersWithSpaces>657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2026-06-18T02:13:00Z</dcterms:created>
  <dc:creator>微软用户</dc:creator>
  <cp:lastModifiedBy>李坤伦</cp:lastModifiedBy>
  <dcterms:modified xsi:type="dcterms:W3CDTF">2026-06-30T14:07:43Z</dcterms:modified>
  <dc:title>附件7：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05BBB81C8E8F4DCAAAFCD4D09316709E_13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