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3B93F" w14:textId="77777777" w:rsidR="001E64D8" w:rsidRDefault="00C550C7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ascii="黑体" w:eastAsia="黑体" w:hAnsi="黑体" w:cs="黑体"/>
          <w:snapToGrid w:val="0"/>
          <w:color w:val="000000"/>
          <w:spacing w:val="1"/>
          <w:kern w:val="0"/>
          <w:sz w:val="32"/>
          <w:szCs w:val="32"/>
        </w:rPr>
      </w:pPr>
      <w:bookmarkStart w:id="0" w:name="_Toc112242368"/>
      <w:r>
        <w:rPr>
          <w:rFonts w:ascii="黑体" w:eastAsia="黑体" w:hAnsi="黑体" w:cs="黑体" w:hint="eastAsia"/>
          <w:snapToGrid w:val="0"/>
          <w:color w:val="000000"/>
          <w:spacing w:val="1"/>
          <w:kern w:val="0"/>
          <w:sz w:val="32"/>
          <w:szCs w:val="32"/>
        </w:rPr>
        <w:t>822</w:t>
      </w:r>
      <w:r>
        <w:rPr>
          <w:rFonts w:ascii="黑体" w:eastAsia="黑体" w:hAnsi="黑体" w:cs="黑体" w:hint="eastAsia"/>
          <w:snapToGrid w:val="0"/>
          <w:color w:val="000000"/>
          <w:spacing w:val="1"/>
          <w:kern w:val="0"/>
          <w:sz w:val="32"/>
          <w:szCs w:val="32"/>
        </w:rPr>
        <w:t>化工原理</w:t>
      </w:r>
      <w:bookmarkEnd w:id="0"/>
    </w:p>
    <w:p w14:paraId="51DD3DD4" w14:textId="77777777" w:rsidR="001E64D8" w:rsidRDefault="001E64D8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ascii="黑体" w:eastAsia="黑体" w:hAnsi="黑体" w:cs="黑体"/>
          <w:snapToGrid w:val="0"/>
          <w:color w:val="000000"/>
          <w:spacing w:val="1"/>
          <w:kern w:val="0"/>
          <w:sz w:val="32"/>
          <w:szCs w:val="32"/>
        </w:rPr>
      </w:pPr>
    </w:p>
    <w:p w14:paraId="19B3696F" w14:textId="77777777" w:rsidR="001E64D8" w:rsidRDefault="00C550C7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一、考试性质</w:t>
      </w:r>
    </w:p>
    <w:p w14:paraId="3E355DC6" w14:textId="77777777" w:rsidR="001E64D8" w:rsidRDefault="00C550C7">
      <w:pPr>
        <w:spacing w:line="360" w:lineRule="auto"/>
        <w:ind w:firstLineChars="214" w:firstLine="514"/>
        <w:rPr>
          <w:sz w:val="24"/>
          <w:szCs w:val="24"/>
        </w:rPr>
      </w:pPr>
      <w:r>
        <w:rPr>
          <w:sz w:val="24"/>
          <w:szCs w:val="24"/>
        </w:rPr>
        <w:t>化工原理课程是化学工程、化工工艺类及相近专业的技术基础课，它在基础课和专业课之间起着承前启后、由理及工的桥梁作用，是化工类及相关专业的主干课程。</w:t>
      </w:r>
    </w:p>
    <w:p w14:paraId="1209B561" w14:textId="77777777" w:rsidR="001E64D8" w:rsidRDefault="00C550C7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二、考查目标</w:t>
      </w:r>
    </w:p>
    <w:p w14:paraId="37CEDFCE" w14:textId="77777777" w:rsidR="001E64D8" w:rsidRDefault="00C550C7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要求考生能系统理解各单元操作的基本概念和基本内容，掌握各单元操作设备的特点和工艺计算方法，提高分析和解决工程问题的能力；熟悉单元操作的研究方法，包括数学解析方法、量纲分析理论指导下的实验研究方法和数学模型法；学会从传递过程的实质上理解单元操作过程。</w:t>
      </w:r>
    </w:p>
    <w:p w14:paraId="322F26F1" w14:textId="77777777" w:rsidR="001E64D8" w:rsidRDefault="00C550C7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b/>
          <w:bCs/>
          <w:sz w:val="28"/>
          <w:szCs w:val="28"/>
        </w:rPr>
        <w:t>三、考试形式</w:t>
      </w:r>
    </w:p>
    <w:p w14:paraId="3EE23BFE" w14:textId="77777777" w:rsidR="001E64D8" w:rsidRDefault="00C550C7">
      <w:pPr>
        <w:spacing w:line="360" w:lineRule="auto"/>
        <w:ind w:firstLineChars="200" w:firstLine="480"/>
        <w:rPr>
          <w:sz w:val="24"/>
        </w:rPr>
      </w:pPr>
      <w:proofErr w:type="gramStart"/>
      <w:r>
        <w:rPr>
          <w:sz w:val="24"/>
        </w:rPr>
        <w:t>本考试</w:t>
      </w:r>
      <w:proofErr w:type="gramEnd"/>
      <w:r>
        <w:rPr>
          <w:sz w:val="24"/>
        </w:rPr>
        <w:t>为闭卷考试，满分为</w:t>
      </w:r>
      <w:r>
        <w:rPr>
          <w:sz w:val="24"/>
        </w:rPr>
        <w:t>150</w:t>
      </w:r>
      <w:r>
        <w:rPr>
          <w:sz w:val="24"/>
        </w:rPr>
        <w:t>分，考试时间为</w:t>
      </w:r>
      <w:r>
        <w:rPr>
          <w:sz w:val="24"/>
        </w:rPr>
        <w:t>180</w:t>
      </w:r>
      <w:r>
        <w:rPr>
          <w:sz w:val="24"/>
        </w:rPr>
        <w:t>分钟。</w:t>
      </w:r>
    </w:p>
    <w:p w14:paraId="40474CEE" w14:textId="77777777" w:rsidR="001E64D8" w:rsidRDefault="00C550C7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试卷结构：</w:t>
      </w:r>
    </w:p>
    <w:p w14:paraId="40D10015" w14:textId="77777777" w:rsidR="001E64D8" w:rsidRDefault="00C550C7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基础知识题（填空、选择</w:t>
      </w:r>
      <w:r>
        <w:rPr>
          <w:rFonts w:hint="eastAsia"/>
          <w:sz w:val="24"/>
          <w:szCs w:val="24"/>
        </w:rPr>
        <w:t>、判断</w:t>
      </w:r>
      <w:r>
        <w:rPr>
          <w:sz w:val="24"/>
          <w:szCs w:val="24"/>
        </w:rPr>
        <w:t>等）：</w:t>
      </w:r>
      <w:r>
        <w:rPr>
          <w:sz w:val="24"/>
          <w:szCs w:val="24"/>
        </w:rPr>
        <w:t>20%</w:t>
      </w:r>
      <w:r>
        <w:rPr>
          <w:sz w:val="24"/>
          <w:szCs w:val="24"/>
        </w:rPr>
        <w:t>～</w:t>
      </w:r>
      <w:r>
        <w:rPr>
          <w:sz w:val="24"/>
          <w:szCs w:val="24"/>
        </w:rPr>
        <w:t>30%</w:t>
      </w:r>
      <w:r>
        <w:rPr>
          <w:sz w:val="24"/>
          <w:szCs w:val="24"/>
        </w:rPr>
        <w:t>；</w:t>
      </w:r>
    </w:p>
    <w:p w14:paraId="48681F42" w14:textId="77777777" w:rsidR="001E64D8" w:rsidRDefault="00C550C7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基本技能题（计算、证明</w:t>
      </w:r>
      <w:r>
        <w:rPr>
          <w:rFonts w:hint="eastAsia"/>
          <w:sz w:val="24"/>
          <w:szCs w:val="24"/>
        </w:rPr>
        <w:t>、实验</w:t>
      </w:r>
      <w:r>
        <w:rPr>
          <w:sz w:val="24"/>
          <w:szCs w:val="24"/>
        </w:rPr>
        <w:t>、</w:t>
      </w:r>
      <w:r>
        <w:rPr>
          <w:rFonts w:hint="eastAsia"/>
          <w:sz w:val="24"/>
          <w:szCs w:val="24"/>
        </w:rPr>
        <w:t>问题分析</w:t>
      </w:r>
      <w:r>
        <w:rPr>
          <w:sz w:val="24"/>
          <w:szCs w:val="24"/>
        </w:rPr>
        <w:t>等</w:t>
      </w:r>
      <w:r>
        <w:rPr>
          <w:sz w:val="24"/>
          <w:szCs w:val="24"/>
        </w:rPr>
        <w:t>)</w:t>
      </w:r>
      <w:r>
        <w:rPr>
          <w:sz w:val="24"/>
          <w:szCs w:val="24"/>
        </w:rPr>
        <w:t>：</w:t>
      </w:r>
      <w:r>
        <w:rPr>
          <w:sz w:val="24"/>
          <w:szCs w:val="24"/>
        </w:rPr>
        <w:t>70%</w:t>
      </w:r>
      <w:r>
        <w:rPr>
          <w:sz w:val="24"/>
          <w:szCs w:val="24"/>
        </w:rPr>
        <w:t>～</w:t>
      </w:r>
      <w:r>
        <w:rPr>
          <w:sz w:val="24"/>
          <w:szCs w:val="24"/>
        </w:rPr>
        <w:t>80%</w:t>
      </w:r>
      <w:r>
        <w:rPr>
          <w:sz w:val="24"/>
          <w:szCs w:val="24"/>
        </w:rPr>
        <w:t>。</w:t>
      </w:r>
    </w:p>
    <w:p w14:paraId="2B095DA3" w14:textId="77777777" w:rsidR="001E64D8" w:rsidRDefault="00C550C7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四、考试内容</w:t>
      </w:r>
    </w:p>
    <w:p w14:paraId="7A3C0192" w14:textId="77777777" w:rsidR="001E64D8" w:rsidRDefault="00C550C7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>、流体流动</w:t>
      </w:r>
    </w:p>
    <w:p w14:paraId="2591D675" w14:textId="107B0807" w:rsidR="001E64D8" w:rsidRDefault="00C550C7">
      <w:pPr>
        <w:spacing w:line="360" w:lineRule="auto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流体流动的两种考察方法；牛顿粘性定律。流体静力学；压强和势能的分布；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静力学原理的工程应用。质量守恒；流动流体的机械能守恒（</w:t>
      </w:r>
      <w:proofErr w:type="gramStart"/>
      <w:r>
        <w:rPr>
          <w:sz w:val="24"/>
          <w:szCs w:val="24"/>
        </w:rPr>
        <w:t>柏努利</w:t>
      </w:r>
      <w:proofErr w:type="gramEnd"/>
      <w:r>
        <w:rPr>
          <w:sz w:val="24"/>
          <w:szCs w:val="24"/>
        </w:rPr>
        <w:t>方程）；机械能守恒原理的应用。层流和湍流的基本特征</w:t>
      </w:r>
      <w:r>
        <w:rPr>
          <w:rFonts w:hint="eastAsia"/>
          <w:sz w:val="24"/>
          <w:szCs w:val="24"/>
        </w:rPr>
        <w:t>，边界层的概念</w:t>
      </w:r>
      <w:r>
        <w:rPr>
          <w:sz w:val="24"/>
          <w:szCs w:val="24"/>
        </w:rPr>
        <w:t>；</w:t>
      </w:r>
      <w:r>
        <w:rPr>
          <w:rFonts w:hint="eastAsia"/>
          <w:sz w:val="24"/>
          <w:szCs w:val="24"/>
        </w:rPr>
        <w:t>直管</w:t>
      </w:r>
      <w:r>
        <w:rPr>
          <w:sz w:val="24"/>
          <w:szCs w:val="24"/>
        </w:rPr>
        <w:t>阻力损失</w:t>
      </w:r>
      <w:r w:rsidR="002B7942"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局部阻力损失；管路计算</w:t>
      </w:r>
      <w:r>
        <w:rPr>
          <w:sz w:val="24"/>
          <w:szCs w:val="24"/>
        </w:rPr>
        <w:t>；阻力损失对流动的影响。毕托管、孔板流量计、转子流量计的原</w:t>
      </w:r>
      <w:r>
        <w:rPr>
          <w:sz w:val="24"/>
          <w:szCs w:val="24"/>
        </w:rPr>
        <w:t>理和计算方法。</w:t>
      </w:r>
    </w:p>
    <w:p w14:paraId="4F31EECA" w14:textId="77777777" w:rsidR="001E64D8" w:rsidRDefault="001E64D8">
      <w:pPr>
        <w:pStyle w:val="a5"/>
        <w:snapToGrid w:val="0"/>
        <w:spacing w:line="360" w:lineRule="auto"/>
        <w:ind w:left="6"/>
        <w:jc w:val="left"/>
        <w:rPr>
          <w:rFonts w:ascii="Times New Roman" w:hAnsi="Times New Roman"/>
          <w:sz w:val="24"/>
          <w:szCs w:val="24"/>
        </w:rPr>
      </w:pPr>
    </w:p>
    <w:p w14:paraId="6CC28A93" w14:textId="3AD08E2A" w:rsidR="001E64D8" w:rsidRDefault="00C550C7">
      <w:pPr>
        <w:pStyle w:val="a5"/>
        <w:snapToGrid w:val="0"/>
        <w:spacing w:line="360" w:lineRule="auto"/>
        <w:ind w:left="6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、流体输送机械</w:t>
      </w:r>
      <w:r>
        <w:rPr>
          <w:rFonts w:ascii="Times New Roman" w:hAnsi="Times New Roman"/>
          <w:sz w:val="24"/>
          <w:szCs w:val="24"/>
        </w:rPr>
        <w:br/>
        <w:t xml:space="preserve">    </w:t>
      </w:r>
      <w:r>
        <w:rPr>
          <w:rFonts w:ascii="Times New Roman" w:hAnsi="Times New Roman"/>
          <w:sz w:val="24"/>
          <w:szCs w:val="24"/>
        </w:rPr>
        <w:t>管路特性方程；离心泵的输液原理；影响离心泵压头的主要因素（流量、密度及气缚现象</w:t>
      </w:r>
      <w:r w:rsidR="002B7942">
        <w:rPr>
          <w:rFonts w:ascii="Times New Roman" w:hAnsi="Times New Roman" w:hint="eastAsia"/>
          <w:sz w:val="24"/>
          <w:szCs w:val="24"/>
        </w:rPr>
        <w:t>、气蚀现象</w:t>
      </w:r>
      <w:r>
        <w:rPr>
          <w:rFonts w:ascii="Times New Roman" w:hAnsi="Times New Roman"/>
          <w:sz w:val="24"/>
          <w:szCs w:val="24"/>
        </w:rPr>
        <w:t>等）；泵的功率、效率和实际压头；离心泵的工作点和流量调节方法；离心泵的并联和串联；离心泵的安装高度，汽蚀余量；离心</w:t>
      </w:r>
      <w:r>
        <w:rPr>
          <w:rFonts w:ascii="Times New Roman" w:hAnsi="Times New Roman"/>
          <w:sz w:val="24"/>
          <w:szCs w:val="24"/>
        </w:rPr>
        <w:lastRenderedPageBreak/>
        <w:t>泵的选用。</w:t>
      </w:r>
      <w:r>
        <w:rPr>
          <w:rFonts w:ascii="Times New Roman" w:hAnsi="Times New Roman"/>
          <w:sz w:val="24"/>
          <w:szCs w:val="24"/>
        </w:rPr>
        <w:t>容积式泵的工作原理、特点和流量调节方法（以往复泵为主）。气体输送的特点及全风压的概念；气体输送机械的主要特性</w:t>
      </w:r>
      <w:r>
        <w:rPr>
          <w:rFonts w:ascii="Times New Roman" w:hAnsi="Times New Roman" w:hint="eastAsia"/>
          <w:sz w:val="24"/>
          <w:szCs w:val="24"/>
        </w:rPr>
        <w:t>，压缩机、真空泵</w:t>
      </w:r>
      <w:r>
        <w:rPr>
          <w:rFonts w:ascii="Times New Roman" w:hAnsi="Times New Roman"/>
          <w:sz w:val="24"/>
          <w:szCs w:val="24"/>
        </w:rPr>
        <w:t>。</w:t>
      </w:r>
      <w:r>
        <w:rPr>
          <w:rFonts w:ascii="Times New Roman" w:hAnsi="Times New Roman"/>
          <w:sz w:val="24"/>
          <w:szCs w:val="24"/>
        </w:rPr>
        <w:br/>
        <w:t>3</w:t>
      </w:r>
      <w:r>
        <w:rPr>
          <w:rFonts w:ascii="Times New Roman" w:hAnsi="Times New Roman"/>
          <w:sz w:val="24"/>
          <w:szCs w:val="24"/>
        </w:rPr>
        <w:t>、</w:t>
      </w:r>
      <w:r>
        <w:rPr>
          <w:rFonts w:ascii="Times New Roman" w:hAnsi="Times New Roman" w:hint="eastAsia"/>
          <w:sz w:val="24"/>
          <w:szCs w:val="24"/>
        </w:rPr>
        <w:t>非均相物系分离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颗粒和床层的基本特性；影响压降的主要因素。表面曳力和形体曳力；球形颗粒的曳力系数及斯托克斯定律。自由沉降速度及其计算；</w:t>
      </w:r>
      <w:proofErr w:type="gramStart"/>
      <w:r>
        <w:rPr>
          <w:rFonts w:ascii="Times New Roman" w:hAnsi="Times New Roman"/>
          <w:sz w:val="24"/>
          <w:szCs w:val="24"/>
        </w:rPr>
        <w:t>降尘室</w:t>
      </w:r>
      <w:proofErr w:type="gramEnd"/>
      <w:r>
        <w:rPr>
          <w:rFonts w:ascii="Times New Roman" w:hAnsi="Times New Roman"/>
          <w:sz w:val="24"/>
          <w:szCs w:val="24"/>
        </w:rPr>
        <w:t>的流量、沉降面积和粒径的关系；旋风分离器的工作原理及影响性能的主要因素，粒级效率的概念。过滤过程数学描述（物料衡算和过滤速率方程），过滤速率、推动力和阻力的概念；过滤速率方程的积分应用；洗涤时间；过滤机的生产能力；加快过滤速率的途径。</w:t>
      </w:r>
      <w:r>
        <w:rPr>
          <w:rFonts w:ascii="Times New Roman" w:hAnsi="Times New Roman"/>
          <w:sz w:val="24"/>
          <w:szCs w:val="24"/>
        </w:rPr>
        <w:br/>
        <w:t>4</w:t>
      </w:r>
      <w:r>
        <w:rPr>
          <w:rFonts w:ascii="Times New Roman" w:hAnsi="Times New Roman"/>
          <w:sz w:val="24"/>
          <w:szCs w:val="24"/>
        </w:rPr>
        <w:t>、传热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DBF9591" w14:textId="77777777" w:rsidR="001E64D8" w:rsidRDefault="00C550C7">
      <w:pPr>
        <w:pStyle w:val="a5"/>
        <w:snapToGrid w:val="0"/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传热的三种基本方式及机理、傅利叶定律；一维导热的计算。牛顿冷却定律；自然对流的起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>因和影响因素；管内强制对流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湍流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给热系数经验式；沸</w:t>
      </w:r>
      <w:r>
        <w:rPr>
          <w:rFonts w:ascii="Times New Roman" w:hAnsi="Times New Roman"/>
          <w:sz w:val="24"/>
          <w:szCs w:val="24"/>
        </w:rPr>
        <w:t>腾给热和沸腾曲线；蒸汽冷凝给热。热量衡算和传热速率式；传热平均温度差，热阻和传热系数；</w:t>
      </w:r>
      <w:proofErr w:type="gramStart"/>
      <w:r>
        <w:rPr>
          <w:rFonts w:ascii="Times New Roman" w:hAnsi="Times New Roman"/>
          <w:sz w:val="24"/>
          <w:szCs w:val="24"/>
        </w:rPr>
        <w:t>垢层热阻</w:t>
      </w:r>
      <w:proofErr w:type="gramEnd"/>
      <w:r>
        <w:rPr>
          <w:rFonts w:ascii="Times New Roman" w:hAnsi="Times New Roman"/>
          <w:sz w:val="24"/>
          <w:szCs w:val="24"/>
        </w:rPr>
        <w:t>，</w:t>
      </w:r>
      <w:proofErr w:type="gramStart"/>
      <w:r>
        <w:rPr>
          <w:rFonts w:ascii="Times New Roman" w:hAnsi="Times New Roman"/>
          <w:sz w:val="24"/>
          <w:szCs w:val="24"/>
        </w:rPr>
        <w:t>壁温计</w:t>
      </w:r>
      <w:proofErr w:type="gramEnd"/>
      <w:r>
        <w:rPr>
          <w:rFonts w:ascii="Times New Roman" w:hAnsi="Times New Roman"/>
          <w:sz w:val="24"/>
          <w:szCs w:val="24"/>
        </w:rPr>
        <w:t>算。传热设计型问题的参数选择和计算方法；传热操作型问题的讨论和计算方法。单个物体的辐射和吸收特性</w:t>
      </w:r>
      <w:r>
        <w:rPr>
          <w:rFonts w:ascii="Times New Roman" w:hAnsi="Times New Roman"/>
          <w:sz w:val="24"/>
          <w:szCs w:val="24"/>
        </w:rPr>
        <w:t>(Stefan Boltzmann</w:t>
      </w:r>
      <w:r>
        <w:rPr>
          <w:rFonts w:ascii="Times New Roman" w:hAnsi="Times New Roman"/>
          <w:sz w:val="24"/>
          <w:szCs w:val="24"/>
        </w:rPr>
        <w:t>定律，</w:t>
      </w:r>
      <w:r>
        <w:rPr>
          <w:rFonts w:ascii="Times New Roman" w:hAnsi="Times New Roman"/>
          <w:sz w:val="24"/>
          <w:szCs w:val="24"/>
        </w:rPr>
        <w:t>Kirchhoff</w:t>
      </w:r>
      <w:r>
        <w:rPr>
          <w:rFonts w:ascii="Times New Roman" w:hAnsi="Times New Roman"/>
          <w:sz w:val="24"/>
          <w:szCs w:val="24"/>
        </w:rPr>
        <w:t>定律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；黑体和灰体。常用换热器的结构</w:t>
      </w:r>
      <w:r>
        <w:rPr>
          <w:rFonts w:ascii="Times New Roman" w:hAnsi="Times New Roman" w:hint="eastAsia"/>
          <w:sz w:val="24"/>
          <w:szCs w:val="24"/>
        </w:rPr>
        <w:t>和类型</w:t>
      </w:r>
      <w:r>
        <w:rPr>
          <w:rFonts w:ascii="Times New Roman" w:hAnsi="Times New Roman"/>
          <w:sz w:val="24"/>
          <w:szCs w:val="24"/>
        </w:rPr>
        <w:t>；换热设备的强化。</w:t>
      </w:r>
    </w:p>
    <w:p w14:paraId="718761AA" w14:textId="77777777" w:rsidR="001E64D8" w:rsidRDefault="00C550C7">
      <w:pPr>
        <w:pStyle w:val="a5"/>
        <w:snapToGrid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、气体吸收</w:t>
      </w:r>
    </w:p>
    <w:p w14:paraId="684A3CE1" w14:textId="77777777" w:rsidR="001E64D8" w:rsidRDefault="00C550C7">
      <w:pPr>
        <w:spacing w:line="360" w:lineRule="auto"/>
        <w:ind w:firstLineChars="200" w:firstLine="480"/>
      </w:pPr>
      <w:r>
        <w:rPr>
          <w:sz w:val="24"/>
          <w:szCs w:val="24"/>
        </w:rPr>
        <w:t>气体吸收的目的、原理及实施方法；吸收过程的经济性与吸收剂的选择原则。亨利定律，温度、总压对平衡的影响；相平衡与吸收过程的关系。对流传质与传质分系数；对流传质与有效膜模型（双膜理论）</w:t>
      </w:r>
      <w:r>
        <w:rPr>
          <w:sz w:val="24"/>
          <w:szCs w:val="24"/>
        </w:rPr>
        <w:t>。相际传质速率方程，传质分系数和总系数的关系；传质推动力与传质系数的关系溶解度对两相传质阻力分配的影响。低浓度气体吸收的假定；物料衡算、传质速率；</w:t>
      </w:r>
      <w:r>
        <w:rPr>
          <w:sz w:val="24"/>
          <w:szCs w:val="24"/>
        </w:rPr>
        <w:t xml:space="preserve"> HOG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NOG</w:t>
      </w:r>
      <w:r>
        <w:rPr>
          <w:sz w:val="24"/>
          <w:szCs w:val="24"/>
        </w:rPr>
        <w:t>的</w:t>
      </w:r>
      <w:r>
        <w:rPr>
          <w:rFonts w:hint="eastAsia"/>
          <w:sz w:val="24"/>
          <w:szCs w:val="24"/>
        </w:rPr>
        <w:t>意义</w:t>
      </w:r>
      <w:r>
        <w:rPr>
          <w:sz w:val="24"/>
          <w:szCs w:val="24"/>
        </w:rPr>
        <w:t>；计算</w:t>
      </w:r>
      <w:r>
        <w:rPr>
          <w:sz w:val="24"/>
          <w:szCs w:val="24"/>
        </w:rPr>
        <w:t>NOG</w:t>
      </w:r>
      <w:r>
        <w:rPr>
          <w:sz w:val="24"/>
          <w:szCs w:val="24"/>
        </w:rPr>
        <w:t>的对数平均推动力法和吸收因数法；物料衡算及操作线的含义。吸收过程设计中参数的选择，最小液气比；影响吸收结果的操作因素分析。</w:t>
      </w:r>
      <w:r>
        <w:rPr>
          <w:sz w:val="24"/>
          <w:szCs w:val="24"/>
        </w:rPr>
        <w:br/>
        <w:t>6</w:t>
      </w:r>
      <w:r>
        <w:rPr>
          <w:sz w:val="24"/>
          <w:szCs w:val="24"/>
        </w:rPr>
        <w:t>、精馏</w:t>
      </w:r>
      <w:r>
        <w:rPr>
          <w:sz w:val="24"/>
          <w:szCs w:val="24"/>
        </w:rPr>
        <w:br/>
        <w:t xml:space="preserve">    </w:t>
      </w:r>
      <w:r>
        <w:rPr>
          <w:sz w:val="24"/>
          <w:szCs w:val="24"/>
        </w:rPr>
        <w:t>蒸馏操作的目的、原理及实施方法，蒸馏操作的经济性。理想溶液</w:t>
      </w:r>
      <w:proofErr w:type="gramStart"/>
      <w:r>
        <w:rPr>
          <w:sz w:val="24"/>
          <w:szCs w:val="24"/>
        </w:rPr>
        <w:t>的汽液相平衡</w:t>
      </w:r>
      <w:proofErr w:type="gramEnd"/>
      <w:r>
        <w:rPr>
          <w:sz w:val="24"/>
          <w:szCs w:val="24"/>
        </w:rPr>
        <w:t>及泡、露点计算；相对挥发度；平衡蒸馏与简单蒸馏。精馏原理；</w:t>
      </w:r>
      <w:proofErr w:type="gramStart"/>
      <w:r>
        <w:rPr>
          <w:sz w:val="24"/>
          <w:szCs w:val="24"/>
        </w:rPr>
        <w:t>恒</w:t>
      </w:r>
      <w:proofErr w:type="gramEnd"/>
      <w:r>
        <w:rPr>
          <w:sz w:val="24"/>
          <w:szCs w:val="24"/>
        </w:rPr>
        <w:t>摩尔流的简化假设，理论板和板效率；加料板上的过程分析；控制体</w:t>
      </w:r>
      <w:r>
        <w:rPr>
          <w:sz w:val="24"/>
          <w:szCs w:val="24"/>
        </w:rPr>
        <w:t>物料衡算和操作线方程。理论板数的</w:t>
      </w:r>
      <w:proofErr w:type="gramStart"/>
      <w:r>
        <w:rPr>
          <w:sz w:val="24"/>
          <w:szCs w:val="24"/>
        </w:rPr>
        <w:t>逐板计算</w:t>
      </w:r>
      <w:proofErr w:type="gramEnd"/>
      <w:r>
        <w:rPr>
          <w:sz w:val="24"/>
          <w:szCs w:val="24"/>
        </w:rPr>
        <w:t>法；用图解法分析精馏过程的方法；全回流和最少理论板数，最小回流比；加料热状态和回流比的选择。精馏操作型</w:t>
      </w:r>
      <w:r>
        <w:rPr>
          <w:rFonts w:hint="eastAsia"/>
          <w:sz w:val="24"/>
          <w:szCs w:val="24"/>
        </w:rPr>
        <w:t>、设计型</w:t>
      </w:r>
      <w:r>
        <w:rPr>
          <w:sz w:val="24"/>
          <w:szCs w:val="24"/>
        </w:rPr>
        <w:t>问题的</w:t>
      </w:r>
      <w:r>
        <w:rPr>
          <w:rFonts w:hint="eastAsia"/>
          <w:sz w:val="24"/>
          <w:szCs w:val="24"/>
        </w:rPr>
        <w:t>计算</w:t>
      </w:r>
      <w:r>
        <w:rPr>
          <w:sz w:val="24"/>
          <w:szCs w:val="24"/>
        </w:rPr>
        <w:t>；分离能力和物料衡算对精馏操作的制约和调节；灵敏板的概念。间歇精馏过程的特点及应用场合。恒沸精馏与萃取精馏的基本概念。</w:t>
      </w:r>
      <w:r>
        <w:rPr>
          <w:sz w:val="24"/>
          <w:szCs w:val="24"/>
        </w:rPr>
        <w:br/>
      </w:r>
      <w:r>
        <w:t>7</w:t>
      </w:r>
      <w:r>
        <w:t>、气液传质设备</w:t>
      </w:r>
      <w:r>
        <w:t>  </w:t>
      </w:r>
    </w:p>
    <w:p w14:paraId="79CA5116" w14:textId="77777777" w:rsidR="001E64D8" w:rsidRDefault="00C550C7">
      <w:pPr>
        <w:pStyle w:val="a5"/>
        <w:snapToGrid w:val="0"/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气液传质过程对</w:t>
      </w:r>
      <w:proofErr w:type="gramStart"/>
      <w:r>
        <w:rPr>
          <w:rFonts w:ascii="Times New Roman" w:hAnsi="Times New Roman"/>
          <w:sz w:val="24"/>
          <w:szCs w:val="24"/>
        </w:rPr>
        <w:t>塔设备</w:t>
      </w:r>
      <w:proofErr w:type="gramEnd"/>
      <w:r>
        <w:rPr>
          <w:rFonts w:ascii="Times New Roman" w:hAnsi="Times New Roman"/>
          <w:sz w:val="24"/>
          <w:szCs w:val="24"/>
        </w:rPr>
        <w:t>的要求。板式塔板上的气液接触状态；塔内非理想流动及其改善；漏液、液泛及有效操作范围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负荷性能图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；常用塔板型式及其主要特性；板式塔的效率。常用填料及其特性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比表面、空隙率、填料因子等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；气液两相在填料塔内的流动、压降、最小喷淋密度和液泛现象；</w:t>
      </w:r>
      <w:r>
        <w:rPr>
          <w:rFonts w:ascii="Times New Roman" w:hAnsi="Times New Roman"/>
          <w:sz w:val="24"/>
          <w:szCs w:val="24"/>
        </w:rPr>
        <w:t>HETP</w:t>
      </w:r>
      <w:r>
        <w:rPr>
          <w:rFonts w:ascii="Times New Roman" w:hAnsi="Times New Roman"/>
          <w:sz w:val="24"/>
          <w:szCs w:val="24"/>
        </w:rPr>
        <w:t>。</w:t>
      </w:r>
    </w:p>
    <w:p w14:paraId="36664F5E" w14:textId="77777777" w:rsidR="001E64D8" w:rsidRDefault="00C550C7">
      <w:pPr>
        <w:spacing w:line="360" w:lineRule="auto"/>
        <w:rPr>
          <w:sz w:val="24"/>
        </w:rPr>
      </w:pPr>
      <w:r>
        <w:rPr>
          <w:sz w:val="24"/>
        </w:rPr>
        <w:t>8</w:t>
      </w:r>
      <w:r>
        <w:rPr>
          <w:sz w:val="24"/>
        </w:rPr>
        <w:t>、干燥</w:t>
      </w:r>
    </w:p>
    <w:p w14:paraId="11F91F44" w14:textId="77777777" w:rsidR="001E64D8" w:rsidRDefault="00C550C7">
      <w:pPr>
        <w:spacing w:line="360" w:lineRule="auto"/>
        <w:ind w:firstLineChars="200" w:firstLine="480"/>
        <w:rPr>
          <w:sz w:val="24"/>
        </w:rPr>
      </w:pPr>
      <w:r>
        <w:rPr>
          <w:sz w:val="24"/>
          <w:szCs w:val="24"/>
        </w:rPr>
        <w:t>干燥的目的、原理及实施方法。热、</w:t>
      </w:r>
      <w:proofErr w:type="gramStart"/>
      <w:r>
        <w:rPr>
          <w:sz w:val="24"/>
          <w:szCs w:val="24"/>
        </w:rPr>
        <w:t>质同时</w:t>
      </w:r>
      <w:proofErr w:type="gramEnd"/>
      <w:r>
        <w:rPr>
          <w:sz w:val="24"/>
          <w:szCs w:val="24"/>
        </w:rPr>
        <w:t>传递过程的主要特点；湿空气的状态参数及其计算；</w:t>
      </w:r>
      <w:r>
        <w:rPr>
          <w:sz w:val="24"/>
          <w:szCs w:val="24"/>
        </w:rPr>
        <w:t xml:space="preserve"> H-I</w:t>
      </w:r>
      <w:r>
        <w:rPr>
          <w:sz w:val="24"/>
          <w:szCs w:val="24"/>
        </w:rPr>
        <w:t>图及其应用；水分在</w:t>
      </w:r>
      <w:proofErr w:type="gramStart"/>
      <w:r>
        <w:rPr>
          <w:sz w:val="24"/>
          <w:szCs w:val="24"/>
        </w:rPr>
        <w:t>气固两相间</w:t>
      </w:r>
      <w:proofErr w:type="gramEnd"/>
      <w:r>
        <w:rPr>
          <w:sz w:val="24"/>
          <w:szCs w:val="24"/>
        </w:rPr>
        <w:t>的平衡。恒定气流条件下物料的干燥速率及临界含水量。间歇干燥过程的干燥时间；连续干燥过程的特点，物料衡算，热量</w:t>
      </w:r>
      <w:r>
        <w:rPr>
          <w:sz w:val="24"/>
          <w:szCs w:val="24"/>
        </w:rPr>
        <w:t>衡算及热效率。常用干燥设备的主要组成部分及特性。</w:t>
      </w:r>
    </w:p>
    <w:p w14:paraId="03EA1AA0" w14:textId="77777777" w:rsidR="001E64D8" w:rsidRDefault="00C550C7">
      <w:pPr>
        <w:pStyle w:val="a5"/>
        <w:snapToGrid w:val="0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、其他传质分离方法</w:t>
      </w:r>
    </w:p>
    <w:p w14:paraId="2118CB5D" w14:textId="77777777" w:rsidR="001E64D8" w:rsidRDefault="00C550C7">
      <w:pPr>
        <w:pStyle w:val="a5"/>
        <w:snapToGrid w:val="0"/>
        <w:spacing w:line="360" w:lineRule="auto"/>
        <w:ind w:firstLineChars="200"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结晶原理；溶解度曲线；物料衡算和热量衡算；结晶设备。反渗透原理及工业应用；超滤原理及工业应用；电渗析原理及工业应用；气体膜分离原理；膜分离设备。</w:t>
      </w:r>
    </w:p>
    <w:p w14:paraId="6D92BB2D" w14:textId="77777777" w:rsidR="001E64D8" w:rsidRDefault="001E64D8">
      <w:pPr>
        <w:spacing w:line="360" w:lineRule="auto"/>
        <w:ind w:firstLineChars="175" w:firstLine="368"/>
      </w:pPr>
    </w:p>
    <w:sectPr w:rsidR="001E64D8">
      <w:footerReference w:type="default" r:id="rId6"/>
      <w:pgSz w:w="11906" w:h="16838"/>
      <w:pgMar w:top="1440" w:right="1800" w:bottom="1440" w:left="1800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176212" w14:textId="77777777" w:rsidR="00C550C7" w:rsidRDefault="00C550C7">
      <w:r>
        <w:separator/>
      </w:r>
    </w:p>
  </w:endnote>
  <w:endnote w:type="continuationSeparator" w:id="0">
    <w:p w14:paraId="4CA8AAA6" w14:textId="77777777" w:rsidR="00C550C7" w:rsidRDefault="00C55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32C39E9-B6F3-4B8F-A104-6CB5F3E6C1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25788" w14:textId="77777777" w:rsidR="001E64D8" w:rsidRDefault="00C550C7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22</w:t>
    </w:r>
    <w:r>
      <w:fldChar w:fldCharType="end"/>
    </w:r>
  </w:p>
  <w:p w14:paraId="605A69B8" w14:textId="77777777" w:rsidR="001E64D8" w:rsidRDefault="001E64D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0308FF" w14:textId="77777777" w:rsidR="00C550C7" w:rsidRDefault="00C550C7">
      <w:r>
        <w:separator/>
      </w:r>
    </w:p>
  </w:footnote>
  <w:footnote w:type="continuationSeparator" w:id="0">
    <w:p w14:paraId="4FEBDBD6" w14:textId="77777777" w:rsidR="00C550C7" w:rsidRDefault="00C550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TrueTypeFonts/>
  <w:saveSubset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Y1ODNhNGY5MmI1YTI4NjVkYWZkZDQxYzg5NWY1OGMifQ=="/>
  </w:docVars>
  <w:rsids>
    <w:rsidRoot w:val="00172A27"/>
    <w:rsid w:val="0005306C"/>
    <w:rsid w:val="00172A27"/>
    <w:rsid w:val="001E64D8"/>
    <w:rsid w:val="0024280C"/>
    <w:rsid w:val="00295C36"/>
    <w:rsid w:val="002B33CA"/>
    <w:rsid w:val="002B7942"/>
    <w:rsid w:val="002E1BB9"/>
    <w:rsid w:val="002E73AE"/>
    <w:rsid w:val="002F6699"/>
    <w:rsid w:val="00320708"/>
    <w:rsid w:val="003D5A8B"/>
    <w:rsid w:val="00530EBC"/>
    <w:rsid w:val="005A7080"/>
    <w:rsid w:val="005D608F"/>
    <w:rsid w:val="005E2269"/>
    <w:rsid w:val="00626F44"/>
    <w:rsid w:val="00755901"/>
    <w:rsid w:val="00782ECF"/>
    <w:rsid w:val="008710BF"/>
    <w:rsid w:val="00881DDF"/>
    <w:rsid w:val="008912A7"/>
    <w:rsid w:val="0089158D"/>
    <w:rsid w:val="008F57B7"/>
    <w:rsid w:val="00935349"/>
    <w:rsid w:val="00966FF9"/>
    <w:rsid w:val="00991196"/>
    <w:rsid w:val="00B42353"/>
    <w:rsid w:val="00B67F61"/>
    <w:rsid w:val="00C31AB0"/>
    <w:rsid w:val="00C33B0E"/>
    <w:rsid w:val="00C550C7"/>
    <w:rsid w:val="00DD7548"/>
    <w:rsid w:val="00E36996"/>
    <w:rsid w:val="00E70779"/>
    <w:rsid w:val="00E8051C"/>
    <w:rsid w:val="00F70488"/>
    <w:rsid w:val="00F915F2"/>
    <w:rsid w:val="00FA2A1A"/>
    <w:rsid w:val="0C617C65"/>
    <w:rsid w:val="129B61D8"/>
    <w:rsid w:val="136D48AC"/>
    <w:rsid w:val="15CA6802"/>
    <w:rsid w:val="16A27D67"/>
    <w:rsid w:val="174848EB"/>
    <w:rsid w:val="18541252"/>
    <w:rsid w:val="20F47472"/>
    <w:rsid w:val="23CF4D34"/>
    <w:rsid w:val="255D3B3D"/>
    <w:rsid w:val="26975E9F"/>
    <w:rsid w:val="27EA6F67"/>
    <w:rsid w:val="29026330"/>
    <w:rsid w:val="2D8D4E7E"/>
    <w:rsid w:val="2F2F703D"/>
    <w:rsid w:val="2F7C7FBE"/>
    <w:rsid w:val="33E45A07"/>
    <w:rsid w:val="35680AB9"/>
    <w:rsid w:val="36046551"/>
    <w:rsid w:val="37F0607D"/>
    <w:rsid w:val="3AC01BE7"/>
    <w:rsid w:val="3C1C1178"/>
    <w:rsid w:val="3DF94D62"/>
    <w:rsid w:val="44AD0C2A"/>
    <w:rsid w:val="4B1328B7"/>
    <w:rsid w:val="4C0B741D"/>
    <w:rsid w:val="4E0A7895"/>
    <w:rsid w:val="4EE94F9C"/>
    <w:rsid w:val="4F4A584B"/>
    <w:rsid w:val="4FDA19D7"/>
    <w:rsid w:val="533A26AB"/>
    <w:rsid w:val="53C02053"/>
    <w:rsid w:val="53CF5AC9"/>
    <w:rsid w:val="55944A0F"/>
    <w:rsid w:val="56AF40CB"/>
    <w:rsid w:val="570F79A8"/>
    <w:rsid w:val="5C045B37"/>
    <w:rsid w:val="5F593708"/>
    <w:rsid w:val="62BF00A6"/>
    <w:rsid w:val="64D00FB4"/>
    <w:rsid w:val="64EB2AB5"/>
    <w:rsid w:val="68936A84"/>
    <w:rsid w:val="6B15132A"/>
    <w:rsid w:val="6D112C0C"/>
    <w:rsid w:val="6D41420B"/>
    <w:rsid w:val="6E604605"/>
    <w:rsid w:val="74500B07"/>
    <w:rsid w:val="74B40DA7"/>
    <w:rsid w:val="74EA0887"/>
    <w:rsid w:val="781C50E7"/>
    <w:rsid w:val="7D4A2890"/>
    <w:rsid w:val="7ED3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8D0D9C"/>
  <w15:docId w15:val="{320B43B8-EB92-447A-8970-90021B7F5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pPr>
      <w:jc w:val="left"/>
    </w:pPr>
  </w:style>
  <w:style w:type="paragraph" w:styleId="TOC3">
    <w:name w:val="toc 3"/>
    <w:basedOn w:val="a"/>
    <w:next w:val="a"/>
    <w:uiPriority w:val="39"/>
    <w:unhideWhenUsed/>
    <w:pPr>
      <w:widowControl/>
      <w:spacing w:after="100" w:line="259" w:lineRule="auto"/>
      <w:ind w:left="440"/>
      <w:jc w:val="left"/>
    </w:pPr>
    <w:rPr>
      <w:rFonts w:ascii="等线" w:eastAsia="等线" w:hAnsi="等线"/>
      <w:kern w:val="0"/>
      <w:sz w:val="22"/>
    </w:rPr>
  </w:style>
  <w:style w:type="paragraph" w:styleId="a5">
    <w:name w:val="Plain Text"/>
    <w:basedOn w:val="a"/>
    <w:link w:val="11"/>
    <w:rPr>
      <w:rFonts w:ascii="Courier New" w:hAnsi="Courier New"/>
      <w:szCs w:val="20"/>
    </w:rPr>
  </w:style>
  <w:style w:type="paragraph" w:styleId="a6">
    <w:name w:val="Balloon Text"/>
    <w:basedOn w:val="a"/>
    <w:link w:val="a7"/>
    <w:uiPriority w:val="99"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a">
    <w:name w:val="header"/>
    <w:basedOn w:val="a"/>
    <w:link w:val="ab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TOC1">
    <w:name w:val="toc 1"/>
    <w:basedOn w:val="a"/>
    <w:next w:val="a"/>
    <w:uiPriority w:val="39"/>
    <w:unhideWhenUsed/>
    <w:rPr>
      <w:rFonts w:ascii="Calibri" w:hAnsi="Calibri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paragraph" w:styleId="ac">
    <w:name w:val="annotation subject"/>
    <w:basedOn w:val="a3"/>
    <w:next w:val="a3"/>
    <w:link w:val="ad"/>
    <w:uiPriority w:val="99"/>
    <w:unhideWhenUsed/>
    <w:rPr>
      <w:b/>
      <w:bCs/>
    </w:rPr>
  </w:style>
  <w:style w:type="character" w:styleId="ae">
    <w:name w:val="Hyperlink"/>
    <w:uiPriority w:val="99"/>
    <w:unhideWhenUsed/>
    <w:rPr>
      <w:color w:val="0563C1"/>
      <w:u w:val="single"/>
    </w:rPr>
  </w:style>
  <w:style w:type="character" w:styleId="af">
    <w:name w:val="annotation reference"/>
    <w:uiPriority w:val="99"/>
    <w:unhideWhenUsed/>
    <w:rPr>
      <w:sz w:val="21"/>
      <w:szCs w:val="21"/>
    </w:rPr>
  </w:style>
  <w:style w:type="character" w:customStyle="1" w:styleId="10">
    <w:name w:val="标题 1 字符"/>
    <w:link w:val="1"/>
    <w:uiPriority w:val="9"/>
    <w:rPr>
      <w:b/>
      <w:bCs/>
      <w:kern w:val="44"/>
      <w:sz w:val="44"/>
      <w:szCs w:val="44"/>
    </w:rPr>
  </w:style>
  <w:style w:type="character" w:customStyle="1" w:styleId="a4">
    <w:name w:val="批注文字 字符"/>
    <w:link w:val="a3"/>
    <w:uiPriority w:val="99"/>
    <w:rPr>
      <w:kern w:val="2"/>
      <w:sz w:val="21"/>
      <w:szCs w:val="22"/>
    </w:rPr>
  </w:style>
  <w:style w:type="character" w:customStyle="1" w:styleId="11">
    <w:name w:val="纯文本 字符1"/>
    <w:link w:val="a5"/>
    <w:locked/>
    <w:rPr>
      <w:rFonts w:ascii="Courier New" w:hAnsi="Courier New"/>
      <w:kern w:val="2"/>
      <w:sz w:val="21"/>
    </w:rPr>
  </w:style>
  <w:style w:type="character" w:customStyle="1" w:styleId="a7">
    <w:name w:val="批注框文本 字符"/>
    <w:link w:val="a6"/>
    <w:uiPriority w:val="99"/>
    <w:semiHidden/>
    <w:rPr>
      <w:kern w:val="2"/>
      <w:sz w:val="18"/>
      <w:szCs w:val="18"/>
    </w:rPr>
  </w:style>
  <w:style w:type="character" w:customStyle="1" w:styleId="a9">
    <w:name w:val="页脚 字符"/>
    <w:link w:val="a8"/>
    <w:uiPriority w:val="99"/>
    <w:semiHidden/>
    <w:rPr>
      <w:sz w:val="18"/>
      <w:szCs w:val="18"/>
    </w:rPr>
  </w:style>
  <w:style w:type="character" w:customStyle="1" w:styleId="ab">
    <w:name w:val="页眉 字符"/>
    <w:link w:val="aa"/>
    <w:uiPriority w:val="99"/>
    <w:semiHidden/>
    <w:rPr>
      <w:sz w:val="18"/>
      <w:szCs w:val="18"/>
    </w:rPr>
  </w:style>
  <w:style w:type="character" w:customStyle="1" w:styleId="ad">
    <w:name w:val="批注主题 字符"/>
    <w:link w:val="ac"/>
    <w:uiPriority w:val="99"/>
    <w:semiHidden/>
    <w:rPr>
      <w:b/>
      <w:bCs/>
      <w:kern w:val="2"/>
      <w:sz w:val="21"/>
      <w:szCs w:val="22"/>
    </w:rPr>
  </w:style>
  <w:style w:type="character" w:customStyle="1" w:styleId="af0">
    <w:name w:val="纯文本 字符"/>
    <w:uiPriority w:val="99"/>
    <w:semiHidden/>
    <w:rPr>
      <w:rFonts w:ascii="宋体" w:hAnsi="Courier New" w:cs="Courier New"/>
      <w:kern w:val="2"/>
      <w:sz w:val="21"/>
      <w:szCs w:val="21"/>
    </w:rPr>
  </w:style>
  <w:style w:type="paragraph" w:customStyle="1" w:styleId="af1">
    <w:basedOn w:val="1"/>
    <w:next w:val="a"/>
    <w:uiPriority w:val="39"/>
    <w:qFormat/>
    <w:pPr>
      <w:widowControl/>
      <w:spacing w:before="240" w:after="0" w:line="259" w:lineRule="auto"/>
      <w:jc w:val="left"/>
      <w:outlineLvl w:val="9"/>
    </w:pPr>
    <w:rPr>
      <w:rFonts w:ascii="等线 Light" w:eastAsia="等线 Light" w:hAnsi="等线 Light"/>
      <w:b w:val="0"/>
      <w:bCs w:val="0"/>
      <w:color w:val="2F5496"/>
      <w:kern w:val="0"/>
      <w:sz w:val="32"/>
      <w:szCs w:val="32"/>
    </w:rPr>
  </w:style>
  <w:style w:type="character" w:customStyle="1" w:styleId="Char">
    <w:name w:val="页脚 Char"/>
    <w:uiPriority w:val="99"/>
    <w:rPr>
      <w:lang w:eastAsia="zh-CN"/>
    </w:rPr>
  </w:style>
  <w:style w:type="paragraph" w:customStyle="1" w:styleId="af2">
    <w:uiPriority w:val="99"/>
    <w:unhideWhenUsed/>
    <w:rPr>
      <w:kern w:val="2"/>
      <w:sz w:val="21"/>
      <w:szCs w:val="22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黑体" w:eastAsia="黑体" w:hAnsi="等线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293</Words>
  <Characters>1673</Characters>
  <Application>Microsoft Office Word</Application>
  <DocSecurity>0</DocSecurity>
  <Lines>13</Lines>
  <Paragraphs>3</Paragraphs>
  <ScaleCrop>false</ScaleCrop>
  <Company>微软中国</Company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附件7：</dc:title>
  <dc:creator>微软用户</dc:creator>
  <cp:lastModifiedBy>209-wu</cp:lastModifiedBy>
  <cp:revision>3</cp:revision>
  <cp:lastPrinted>2021-09-08T05:38:00Z</cp:lastPrinted>
  <dcterms:created xsi:type="dcterms:W3CDTF">2026-09-10T07:22:00Z</dcterms:created>
  <dcterms:modified xsi:type="dcterms:W3CDTF">2026-09-10T07:27:00Z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B0C7DFCC61EB479893B70897C824E46E_13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