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B2FED">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0" w:name="_Toc24499"/>
      <w:r>
        <w:rPr>
          <w:rFonts w:hint="eastAsia" w:ascii="黑体" w:hAnsi="黑体" w:eastAsia="黑体" w:cs="黑体"/>
          <w:b w:val="0"/>
          <w:bCs w:val="0"/>
          <w:snapToGrid w:val="0"/>
          <w:color w:val="000000"/>
          <w:spacing w:val="1"/>
          <w:kern w:val="0"/>
          <w:sz w:val="32"/>
          <w:szCs w:val="32"/>
          <w:lang w:val="en-US" w:eastAsia="zh-CN"/>
        </w:rPr>
        <w:t>8</w:t>
      </w:r>
      <w:r>
        <w:rPr>
          <w:rFonts w:hint="eastAsia" w:ascii="黑体" w:hAnsi="黑体" w:eastAsia="黑体" w:cs="黑体"/>
          <w:b w:val="0"/>
          <w:bCs w:val="0"/>
          <w:snapToGrid w:val="0"/>
          <w:color w:val="000000"/>
          <w:spacing w:val="1"/>
          <w:kern w:val="0"/>
          <w:sz w:val="32"/>
          <w:szCs w:val="32"/>
          <w:lang w:val="en-US" w:eastAsia="zh-CN"/>
        </w:rPr>
        <w:t>54</w:t>
      </w:r>
      <w:r>
        <w:rPr>
          <w:rFonts w:hint="eastAsia" w:ascii="黑体" w:hAnsi="黑体" w:eastAsia="黑体" w:cs="黑体"/>
          <w:b w:val="0"/>
          <w:bCs w:val="0"/>
          <w:snapToGrid w:val="0"/>
          <w:color w:val="000000"/>
          <w:spacing w:val="1"/>
          <w:kern w:val="0"/>
          <w:sz w:val="32"/>
          <w:szCs w:val="32"/>
          <w:lang w:eastAsia="zh-CN"/>
        </w:rPr>
        <w:t>材料科学基础</w:t>
      </w:r>
      <w:bookmarkEnd w:id="0"/>
    </w:p>
    <w:p w14:paraId="606548C6">
      <w:pPr>
        <w:widowControl/>
        <w:kinsoku w:val="0"/>
        <w:autoSpaceDE w:val="0"/>
        <w:autoSpaceDN w:val="0"/>
        <w:adjustRightInd w:val="0"/>
        <w:snapToGrid w:val="0"/>
        <w:spacing w:line="324" w:lineRule="auto"/>
        <w:ind w:left="22"/>
        <w:jc w:val="center"/>
        <w:textAlignment w:val="baseline"/>
        <w:outlineLvl w:val="1"/>
        <w:rPr>
          <w:rFonts w:hint="eastAsia" w:ascii="黑体" w:hAnsi="黑体" w:eastAsia="黑体" w:cs="黑体"/>
          <w:b w:val="0"/>
          <w:bCs w:val="0"/>
          <w:snapToGrid w:val="0"/>
          <w:color w:val="000000"/>
          <w:spacing w:val="1"/>
          <w:kern w:val="0"/>
          <w:sz w:val="32"/>
          <w:szCs w:val="32"/>
          <w:lang w:eastAsia="zh-CN"/>
        </w:rPr>
      </w:pPr>
      <w:bookmarkStart w:id="1" w:name="_GoBack"/>
      <w:bookmarkEnd w:id="1"/>
    </w:p>
    <w:p w14:paraId="54A6A2F1">
      <w:pPr>
        <w:spacing w:line="360" w:lineRule="auto"/>
        <w:rPr>
          <w:rFonts w:hint="eastAsia" w:ascii="宋体" w:hAnsi="宋体"/>
          <w:b/>
          <w:bCs/>
          <w:sz w:val="28"/>
          <w:szCs w:val="28"/>
        </w:rPr>
      </w:pPr>
      <w:r>
        <w:rPr>
          <w:rFonts w:hint="eastAsia" w:ascii="宋体" w:hAnsi="宋体"/>
          <w:b/>
          <w:bCs/>
          <w:sz w:val="28"/>
          <w:szCs w:val="28"/>
        </w:rPr>
        <w:t>一、考试性质</w:t>
      </w:r>
    </w:p>
    <w:p w14:paraId="43651ECD">
      <w:pPr>
        <w:spacing w:line="360" w:lineRule="auto"/>
        <w:ind w:firstLine="513" w:firstLineChars="214"/>
        <w:rPr>
          <w:rFonts w:hint="eastAsia" w:ascii="宋体" w:hAnsi="宋体"/>
          <w:sz w:val="24"/>
          <w:szCs w:val="24"/>
        </w:rPr>
      </w:pPr>
      <w:r>
        <w:rPr>
          <w:rFonts w:hint="eastAsia" w:ascii="宋体" w:hAnsi="宋体"/>
          <w:sz w:val="24"/>
          <w:szCs w:val="24"/>
        </w:rPr>
        <w:t>全国研究生入学考试初试专业课考试科目。</w:t>
      </w:r>
    </w:p>
    <w:p w14:paraId="3BCCE328">
      <w:pPr>
        <w:spacing w:before="156" w:beforeLines="50" w:line="360" w:lineRule="auto"/>
        <w:rPr>
          <w:rFonts w:hint="eastAsia" w:ascii="宋体" w:hAnsi="宋体"/>
          <w:b/>
          <w:bCs/>
          <w:sz w:val="28"/>
          <w:szCs w:val="28"/>
        </w:rPr>
      </w:pPr>
      <w:r>
        <w:rPr>
          <w:rFonts w:hint="eastAsia" w:ascii="宋体" w:hAnsi="宋体"/>
          <w:b/>
          <w:bCs/>
          <w:sz w:val="28"/>
          <w:szCs w:val="28"/>
        </w:rPr>
        <w:t>二、考查目标</w:t>
      </w:r>
    </w:p>
    <w:p w14:paraId="32AA84FB">
      <w:pPr>
        <w:spacing w:line="360" w:lineRule="auto"/>
        <w:ind w:firstLine="480" w:firstLineChars="200"/>
        <w:rPr>
          <w:rFonts w:hint="eastAsia" w:ascii="宋体" w:hAnsi="宋体"/>
          <w:sz w:val="24"/>
          <w:szCs w:val="24"/>
        </w:rPr>
      </w:pPr>
      <w:r>
        <w:rPr>
          <w:rFonts w:hint="eastAsia" w:ascii="宋体" w:hAnsi="宋体"/>
          <w:sz w:val="24"/>
          <w:szCs w:val="24"/>
        </w:rPr>
        <w:t>本科目内容包括材料的微观组织与性能之间的关系，材料相关基本概念及其应用，材料中的共性基础问题。本科目主要考查考生对《材料科学基础》中基本理论的掌握程度以及应用基本理论分析和解决材料问题的能力。</w:t>
      </w:r>
    </w:p>
    <w:p w14:paraId="4D2D381C">
      <w:pPr>
        <w:spacing w:before="156" w:beforeLines="50" w:line="360" w:lineRule="auto"/>
        <w:rPr>
          <w:rFonts w:hint="eastAsia" w:ascii="宋体" w:hAnsi="宋体"/>
          <w:sz w:val="24"/>
          <w:szCs w:val="24"/>
        </w:rPr>
      </w:pPr>
      <w:r>
        <w:rPr>
          <w:rFonts w:hint="eastAsia" w:ascii="宋体" w:hAnsi="宋体"/>
          <w:b/>
          <w:bCs/>
          <w:sz w:val="28"/>
          <w:szCs w:val="28"/>
        </w:rPr>
        <w:t>三、考试形式</w:t>
      </w:r>
    </w:p>
    <w:p w14:paraId="45E9F467">
      <w:pPr>
        <w:spacing w:line="360" w:lineRule="auto"/>
        <w:ind w:firstLine="480" w:firstLineChars="200"/>
        <w:rPr>
          <w:rFonts w:hint="eastAsia" w:ascii="宋体" w:hAnsi="宋体"/>
          <w:sz w:val="24"/>
        </w:rPr>
      </w:pPr>
      <w:r>
        <w:rPr>
          <w:rFonts w:hint="eastAsia" w:ascii="宋体" w:hAnsi="宋体"/>
          <w:sz w:val="24"/>
        </w:rPr>
        <w:t>本考试为闭卷考</w:t>
      </w:r>
      <w:r>
        <w:rPr>
          <w:sz w:val="24"/>
        </w:rPr>
        <w:t>试，满分为150分，考试时间为180分钟。</w:t>
      </w:r>
    </w:p>
    <w:p w14:paraId="6863A0DF">
      <w:pPr>
        <w:spacing w:before="156" w:beforeLines="50" w:line="360" w:lineRule="auto"/>
        <w:rPr>
          <w:rFonts w:hint="eastAsia" w:ascii="宋体" w:hAnsi="宋体"/>
          <w:b/>
          <w:bCs/>
          <w:sz w:val="28"/>
          <w:szCs w:val="28"/>
        </w:rPr>
      </w:pPr>
      <w:r>
        <w:rPr>
          <w:rFonts w:hint="eastAsia" w:ascii="宋体" w:hAnsi="宋体"/>
          <w:b/>
          <w:bCs/>
          <w:sz w:val="28"/>
          <w:szCs w:val="28"/>
        </w:rPr>
        <w:t>四、考试内容</w:t>
      </w:r>
    </w:p>
    <w:p w14:paraId="1721AEB8">
      <w:pPr>
        <w:spacing w:line="360" w:lineRule="auto"/>
        <w:ind w:firstLine="480" w:firstLineChars="200"/>
        <w:rPr>
          <w:sz w:val="24"/>
        </w:rPr>
      </w:pPr>
      <w:r>
        <w:rPr>
          <w:sz w:val="24"/>
        </w:rPr>
        <w:t>1、绪论</w:t>
      </w:r>
    </w:p>
    <w:p w14:paraId="52EF1F13">
      <w:pPr>
        <w:spacing w:line="360" w:lineRule="auto"/>
        <w:ind w:firstLine="480" w:firstLineChars="200"/>
        <w:rPr>
          <w:sz w:val="24"/>
        </w:rPr>
      </w:pPr>
      <w:r>
        <w:rPr>
          <w:sz w:val="24"/>
        </w:rPr>
        <w:t>了解材料科学在国际前沿和国家重大需求中的地位与作用，材料科学与工程学科的发展简史。</w:t>
      </w:r>
    </w:p>
    <w:p w14:paraId="2EB3447E">
      <w:pPr>
        <w:spacing w:line="360" w:lineRule="auto"/>
        <w:ind w:firstLine="480" w:firstLineChars="200"/>
        <w:rPr>
          <w:sz w:val="24"/>
        </w:rPr>
      </w:pPr>
      <w:r>
        <w:rPr>
          <w:rFonts w:hint="eastAsia"/>
          <w:sz w:val="24"/>
        </w:rPr>
        <w:t>2、</w:t>
      </w:r>
      <w:r>
        <w:rPr>
          <w:sz w:val="24"/>
        </w:rPr>
        <w:t>原子结构和键合</w:t>
      </w:r>
    </w:p>
    <w:p w14:paraId="1D07B5FC">
      <w:pPr>
        <w:spacing w:line="360" w:lineRule="auto"/>
        <w:ind w:firstLine="480" w:firstLineChars="200"/>
        <w:rPr>
          <w:color w:val="FFFFFF"/>
          <w:sz w:val="24"/>
        </w:rPr>
      </w:pPr>
      <w:r>
        <w:rPr>
          <w:sz w:val="24"/>
        </w:rPr>
        <w:t>了解物质的原子组成，组成材料各元素的原子结构和原子间的键合是决定材料性能的重要因素。描述原子的核外电子结构的四个量子数概念和物理意义以及五类原子键合的概念和内涵。</w:t>
      </w:r>
    </w:p>
    <w:p w14:paraId="54A848C0">
      <w:pPr>
        <w:spacing w:line="360" w:lineRule="auto"/>
        <w:ind w:firstLine="480" w:firstLineChars="200"/>
        <w:rPr>
          <w:sz w:val="24"/>
        </w:rPr>
      </w:pPr>
      <w:r>
        <w:rPr>
          <w:rFonts w:hint="eastAsia"/>
          <w:sz w:val="24"/>
        </w:rPr>
        <w:t>3、</w:t>
      </w:r>
      <w:r>
        <w:rPr>
          <w:sz w:val="24"/>
        </w:rPr>
        <w:t>固体结构</w:t>
      </w:r>
    </w:p>
    <w:p w14:paraId="0D7B0C46">
      <w:pPr>
        <w:spacing w:line="360" w:lineRule="auto"/>
        <w:ind w:firstLine="480" w:firstLineChars="200"/>
        <w:rPr>
          <w:sz w:val="24"/>
        </w:rPr>
      </w:pPr>
      <w:r>
        <w:rPr>
          <w:sz w:val="24"/>
        </w:rPr>
        <w:t>重点掌握晶体学的基本概念和基础知识，包括晶胞选取原则、常见晶体晶面和晶向的指数标定、面间距的确定和计算、典型结构的致密度、配位数、原子数、间隙等确定。理解并计算不同晶体结构的原子半径与晶格常数的关系。</w:t>
      </w:r>
    </w:p>
    <w:p w14:paraId="36E7F864">
      <w:pPr>
        <w:spacing w:line="360" w:lineRule="auto"/>
        <w:ind w:firstLine="480" w:firstLineChars="200"/>
        <w:rPr>
          <w:sz w:val="24"/>
        </w:rPr>
      </w:pPr>
      <w:r>
        <w:rPr>
          <w:rFonts w:hint="eastAsia"/>
          <w:sz w:val="24"/>
        </w:rPr>
        <w:t>4、</w:t>
      </w:r>
      <w:r>
        <w:rPr>
          <w:sz w:val="24"/>
        </w:rPr>
        <w:t>晶体缺陷</w:t>
      </w:r>
    </w:p>
    <w:p w14:paraId="59D8DEA0">
      <w:pPr>
        <w:spacing w:line="360" w:lineRule="auto"/>
        <w:ind w:firstLine="480" w:firstLineChars="200"/>
        <w:rPr>
          <w:sz w:val="24"/>
        </w:rPr>
      </w:pPr>
      <w:r>
        <w:rPr>
          <w:sz w:val="24"/>
        </w:rPr>
        <w:t>空位、间隙原子、点缺陷的平衡浓度、刃型位错、螺型位错、混合位错、全位错、不全位错、柏氏回路、柏氏矢量、柏氏矢量的物理意义、柏氏矢量的守恒性、位错的滑移、位错的交滑移、位错的攀移、位错的交割、割阶、扭折等基本概念，材料的表面与界面。</w:t>
      </w:r>
    </w:p>
    <w:p w14:paraId="7C7E3186">
      <w:pPr>
        <w:spacing w:line="360" w:lineRule="auto"/>
        <w:ind w:firstLine="480" w:firstLineChars="200"/>
        <w:rPr>
          <w:sz w:val="24"/>
        </w:rPr>
      </w:pPr>
      <w:r>
        <w:rPr>
          <w:rFonts w:hint="eastAsia"/>
          <w:sz w:val="24"/>
        </w:rPr>
        <w:t>5、</w:t>
      </w:r>
      <w:r>
        <w:rPr>
          <w:sz w:val="24"/>
        </w:rPr>
        <w:t>固体中原子及分子的运动</w:t>
      </w:r>
    </w:p>
    <w:p w14:paraId="79867A1F">
      <w:pPr>
        <w:spacing w:line="360" w:lineRule="auto"/>
        <w:ind w:firstLine="480" w:firstLineChars="200"/>
        <w:rPr>
          <w:sz w:val="24"/>
        </w:rPr>
      </w:pPr>
      <w:r>
        <w:rPr>
          <w:sz w:val="24"/>
        </w:rPr>
        <w:t>重点掌握扩散的基本理论和概念，包括菲克定律、扩散系数及其影响各种扩散方式的因素等内容，并会用这些理论解决常见的实际问题。</w:t>
      </w:r>
    </w:p>
    <w:p w14:paraId="26350F7B">
      <w:pPr>
        <w:spacing w:line="360" w:lineRule="auto"/>
        <w:ind w:firstLine="480" w:firstLineChars="200"/>
        <w:rPr>
          <w:sz w:val="24"/>
        </w:rPr>
      </w:pPr>
      <w:r>
        <w:rPr>
          <w:rFonts w:hint="eastAsia"/>
          <w:sz w:val="24"/>
        </w:rPr>
        <w:t>6、</w:t>
      </w:r>
      <w:r>
        <w:rPr>
          <w:sz w:val="24"/>
        </w:rPr>
        <w:t>材料的形变与再结晶</w:t>
      </w:r>
    </w:p>
    <w:p w14:paraId="1F4C4917">
      <w:pPr>
        <w:spacing w:line="360" w:lineRule="auto"/>
        <w:ind w:firstLine="480" w:firstLineChars="200"/>
        <w:rPr>
          <w:sz w:val="24"/>
        </w:rPr>
      </w:pPr>
      <w:r>
        <w:rPr>
          <w:sz w:val="24"/>
        </w:rPr>
        <w:t>掌握晶体、多晶体和合金的弹塑性变形理论；冷变形金属在加热过程中发生的变化和原理以及与微观结构的关联因素。</w:t>
      </w:r>
    </w:p>
    <w:p w14:paraId="3BD61672">
      <w:pPr>
        <w:spacing w:line="360" w:lineRule="auto"/>
        <w:ind w:firstLine="480" w:firstLineChars="200"/>
        <w:rPr>
          <w:sz w:val="24"/>
        </w:rPr>
      </w:pPr>
      <w:r>
        <w:rPr>
          <w:rFonts w:hint="eastAsia"/>
          <w:sz w:val="24"/>
        </w:rPr>
        <w:t>7、</w:t>
      </w:r>
      <w:r>
        <w:rPr>
          <w:sz w:val="24"/>
        </w:rPr>
        <w:t>单组元相图及纯晶体的凝固</w:t>
      </w:r>
    </w:p>
    <w:p w14:paraId="0A28B2D5">
      <w:pPr>
        <w:spacing w:line="360" w:lineRule="auto"/>
        <w:ind w:firstLine="480" w:firstLineChars="200"/>
        <w:rPr>
          <w:sz w:val="24"/>
        </w:rPr>
      </w:pPr>
      <w:r>
        <w:rPr>
          <w:sz w:val="24"/>
        </w:rPr>
        <w:t>掌握相律、一元相图的基本概念以及纯晶体凝固理论。</w:t>
      </w:r>
    </w:p>
    <w:p w14:paraId="685DF59C">
      <w:pPr>
        <w:spacing w:line="360" w:lineRule="auto"/>
        <w:ind w:firstLine="480" w:firstLineChars="200"/>
        <w:rPr>
          <w:sz w:val="24"/>
        </w:rPr>
      </w:pPr>
      <w:r>
        <w:rPr>
          <w:rFonts w:hint="eastAsia"/>
          <w:sz w:val="24"/>
        </w:rPr>
        <w:t>8、</w:t>
      </w:r>
      <w:r>
        <w:rPr>
          <w:sz w:val="24"/>
        </w:rPr>
        <w:t>二元系相图及合金的凝固</w:t>
      </w:r>
    </w:p>
    <w:p w14:paraId="06DD78E2">
      <w:pPr>
        <w:spacing w:line="360" w:lineRule="auto"/>
        <w:ind w:firstLine="480" w:firstLineChars="200"/>
        <w:rPr>
          <w:sz w:val="24"/>
          <w:szCs w:val="24"/>
        </w:rPr>
      </w:pPr>
      <w:r>
        <w:rPr>
          <w:sz w:val="24"/>
        </w:rPr>
        <w:t>掌握相图的基本理论，常见二元相图的结构、分析内容和方法，利用杠杆定律求解组份的含量；了解二元合金的凝固理论。</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0NmFlNTAyNTMyYWJjNWU1NTVmOWU2ZWRhZjVkMDEifQ=="/>
  </w:docVars>
  <w:rsids>
    <w:rsidRoot w:val="00172A27"/>
    <w:rsid w:val="000016C9"/>
    <w:rsid w:val="00006E87"/>
    <w:rsid w:val="0005306C"/>
    <w:rsid w:val="001D5445"/>
    <w:rsid w:val="00254781"/>
    <w:rsid w:val="00270CA5"/>
    <w:rsid w:val="003D5A8B"/>
    <w:rsid w:val="00494E8B"/>
    <w:rsid w:val="004C6C3F"/>
    <w:rsid w:val="00530EBC"/>
    <w:rsid w:val="005D608F"/>
    <w:rsid w:val="005E2269"/>
    <w:rsid w:val="00642615"/>
    <w:rsid w:val="00753D33"/>
    <w:rsid w:val="007C5EA3"/>
    <w:rsid w:val="008F57B7"/>
    <w:rsid w:val="00945547"/>
    <w:rsid w:val="00A41FED"/>
    <w:rsid w:val="00B22FCF"/>
    <w:rsid w:val="00D6634C"/>
    <w:rsid w:val="00E12445"/>
    <w:rsid w:val="00F61BBD"/>
    <w:rsid w:val="00F70488"/>
    <w:rsid w:val="0C617C65"/>
    <w:rsid w:val="0DB32407"/>
    <w:rsid w:val="129B61D8"/>
    <w:rsid w:val="136D48AC"/>
    <w:rsid w:val="16A27D67"/>
    <w:rsid w:val="174848EB"/>
    <w:rsid w:val="18541252"/>
    <w:rsid w:val="1B850F5C"/>
    <w:rsid w:val="20F47472"/>
    <w:rsid w:val="21E42A58"/>
    <w:rsid w:val="255D3B3D"/>
    <w:rsid w:val="2F2F703D"/>
    <w:rsid w:val="2F7C7FBE"/>
    <w:rsid w:val="2FA03B8C"/>
    <w:rsid w:val="36046551"/>
    <w:rsid w:val="37F0607D"/>
    <w:rsid w:val="3DF94D62"/>
    <w:rsid w:val="44523F79"/>
    <w:rsid w:val="4B1328B7"/>
    <w:rsid w:val="4E027BF4"/>
    <w:rsid w:val="533A26AB"/>
    <w:rsid w:val="53CF5AC9"/>
    <w:rsid w:val="55944A0F"/>
    <w:rsid w:val="56AF40CB"/>
    <w:rsid w:val="5F593708"/>
    <w:rsid w:val="61C743D6"/>
    <w:rsid w:val="637850BA"/>
    <w:rsid w:val="64EB2AB5"/>
    <w:rsid w:val="665F2F20"/>
    <w:rsid w:val="6B4179FA"/>
    <w:rsid w:val="6CB95A5F"/>
    <w:rsid w:val="6D41420B"/>
    <w:rsid w:val="6E604605"/>
    <w:rsid w:val="74500B07"/>
    <w:rsid w:val="776E21A2"/>
    <w:rsid w:val="781C50E7"/>
    <w:rsid w:val="7AE55812"/>
    <w:rsid w:val="7ED303D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character" w:default="1" w:styleId="9">
    <w:name w:val="Default Paragraph Font"/>
    <w:unhideWhenUsed/>
    <w:uiPriority w:val="1"/>
  </w:style>
  <w:style w:type="table" w:default="1" w:styleId="8">
    <w:name w:val="Normal Table"/>
    <w:unhideWhenUsed/>
    <w:uiPriority w:val="99"/>
    <w:tblPr>
      <w:tblStyle w:val="8"/>
      <w:tblCellMar>
        <w:top w:w="0" w:type="dxa"/>
        <w:left w:w="108" w:type="dxa"/>
        <w:bottom w:w="0" w:type="dxa"/>
        <w:right w:w="108" w:type="dxa"/>
      </w:tblCellMar>
    </w:tblPr>
  </w:style>
  <w:style w:type="paragraph" w:styleId="2">
    <w:name w:val="annotation text"/>
    <w:basedOn w:val="1"/>
    <w:link w:val="11"/>
    <w:unhideWhenUsed/>
    <w:uiPriority w:val="99"/>
    <w:pPr>
      <w:jc w:val="left"/>
    </w:pPr>
  </w:style>
  <w:style w:type="paragraph" w:styleId="3">
    <w:name w:val="Balloon Text"/>
    <w:basedOn w:val="1"/>
    <w:link w:val="12"/>
    <w:unhideWhenUsed/>
    <w:uiPriority w:val="99"/>
    <w:rPr>
      <w:sz w:val="18"/>
      <w:szCs w:val="18"/>
    </w:rPr>
  </w:style>
  <w:style w:type="paragraph" w:styleId="4">
    <w:name w:val="footer"/>
    <w:basedOn w:val="1"/>
    <w:link w:val="13"/>
    <w:unhideWhenUsed/>
    <w:uiPriority w:val="99"/>
    <w:pPr>
      <w:tabs>
        <w:tab w:val="center" w:pos="4153"/>
        <w:tab w:val="right" w:pos="8306"/>
      </w:tabs>
      <w:snapToGrid w:val="0"/>
      <w:jc w:val="left"/>
    </w:pPr>
    <w:rPr>
      <w:sz w:val="18"/>
      <w:szCs w:val="18"/>
    </w:rPr>
  </w:style>
  <w:style w:type="paragraph" w:styleId="5">
    <w:name w:val="header"/>
    <w:basedOn w:val="1"/>
    <w:link w:val="14"/>
    <w:unhideWhenUsed/>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unhideWhenUsed/>
    <w:uiPriority w:val="39"/>
    <w:rPr>
      <w:rFonts w:ascii="Calibri" w:hAnsi="Calibri"/>
    </w:rPr>
  </w:style>
  <w:style w:type="paragraph" w:styleId="7">
    <w:name w:val="annotation subject"/>
    <w:basedOn w:val="2"/>
    <w:next w:val="2"/>
    <w:link w:val="15"/>
    <w:unhideWhenUsed/>
    <w:uiPriority w:val="99"/>
    <w:rPr>
      <w:b/>
      <w:bCs/>
    </w:rPr>
  </w:style>
  <w:style w:type="character" w:styleId="10">
    <w:name w:val="annotation reference"/>
    <w:unhideWhenUsed/>
    <w:uiPriority w:val="99"/>
    <w:rPr>
      <w:sz w:val="21"/>
      <w:szCs w:val="21"/>
    </w:rPr>
  </w:style>
  <w:style w:type="character" w:customStyle="1" w:styleId="11">
    <w:name w:val="批注文字 字符"/>
    <w:link w:val="2"/>
    <w:uiPriority w:val="99"/>
    <w:rPr>
      <w:kern w:val="2"/>
      <w:sz w:val="21"/>
      <w:szCs w:val="22"/>
    </w:rPr>
  </w:style>
  <w:style w:type="character" w:customStyle="1" w:styleId="12">
    <w:name w:val="批注框文本 字符"/>
    <w:link w:val="3"/>
    <w:semiHidden/>
    <w:uiPriority w:val="99"/>
    <w:rPr>
      <w:kern w:val="2"/>
      <w:sz w:val="18"/>
      <w:szCs w:val="18"/>
    </w:rPr>
  </w:style>
  <w:style w:type="character" w:customStyle="1" w:styleId="13">
    <w:name w:val="页脚 字符"/>
    <w:link w:val="4"/>
    <w:semiHidden/>
    <w:uiPriority w:val="99"/>
    <w:rPr>
      <w:sz w:val="18"/>
      <w:szCs w:val="18"/>
    </w:rPr>
  </w:style>
  <w:style w:type="character" w:customStyle="1" w:styleId="14">
    <w:name w:val="页眉 字符"/>
    <w:link w:val="5"/>
    <w:semiHidden/>
    <w:uiPriority w:val="99"/>
    <w:rPr>
      <w:sz w:val="18"/>
      <w:szCs w:val="18"/>
    </w:rPr>
  </w:style>
  <w:style w:type="character" w:customStyle="1" w:styleId="15">
    <w:name w:val="批注主题 字符"/>
    <w:link w:val="7"/>
    <w:semiHidden/>
    <w:uiPriority w:val="99"/>
    <w:rPr>
      <w:b/>
      <w:bCs/>
      <w:kern w:val="2"/>
      <w:sz w:val="21"/>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Pages>
  <Words>785</Words>
  <Characters>791</Characters>
  <Lines>61</Lines>
  <Paragraphs>67</Paragraphs>
  <TotalTime>1</TotalTime>
  <ScaleCrop>false</ScaleCrop>
  <LinksUpToDate>false</LinksUpToDate>
  <CharactersWithSpaces>791</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2014-08-12T03:54:00Z</dcterms:created>
  <dc:creator>微软用户</dc:creator>
  <cp:lastModifiedBy>李坤伦</cp:lastModifiedBy>
  <dcterms:modified xsi:type="dcterms:W3CDTF">2026-07-01T01:46:09Z</dcterms:modified>
  <dc:title>附件7：</dc:title>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8D4D0EB804A344E5915B75507FE932E6_13</vt:lpwstr>
  </property>
  <property fmtid="{D5CDD505-2E9C-101B-9397-08002B2CF9AE}" pid="4" name="KSOTemplateDocerSaveRecord">
    <vt:lpwstr>eyJoZGlkIjoiNDIyNzEzY2QzMzA3OWEzMGQ3MzE1ZDllOWZjYjI1N2QiLCJ1c2VySWQiOiIyMDQwMTE2ODcifQ==</vt:lpwstr>
  </property>
</Properties>
</file>