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b/>
          <w:bCs/>
          <w:sz w:val="32"/>
          <w:szCs w:val="32"/>
        </w:rPr>
      </w:pPr>
      <w:r>
        <w:rPr>
          <w:rFonts w:hint="eastAsia"/>
          <w:b/>
          <w:bCs/>
          <w:sz w:val="32"/>
          <w:szCs w:val="32"/>
        </w:rPr>
        <w:t>008医药</w:t>
      </w:r>
      <w:r>
        <w:rPr>
          <w:b/>
          <w:bCs/>
          <w:sz w:val="32"/>
          <w:szCs w:val="32"/>
        </w:rPr>
        <w:t>学院</w:t>
      </w:r>
    </w:p>
    <w:p>
      <w:pPr>
        <w:spacing w:line="360" w:lineRule="exact"/>
        <w:jc w:val="center"/>
        <w:rPr>
          <w:rFonts w:hint="eastAsia"/>
          <w:bCs/>
          <w:szCs w:val="21"/>
        </w:rPr>
      </w:pPr>
    </w:p>
    <w:p>
      <w:pPr>
        <w:pStyle w:val="7"/>
        <w:spacing w:line="400" w:lineRule="exact"/>
        <w:ind w:left="0" w:leftChars="0" w:firstLine="562" w:firstLineChars="200"/>
        <w:rPr>
          <w:rFonts w:ascii="宋体" w:hAnsi="宋体" w:eastAsia="宋体" w:cs="宋体"/>
          <w:b/>
          <w:bCs/>
        </w:rPr>
      </w:pPr>
      <w:r>
        <w:rPr>
          <w:rFonts w:hint="eastAsia" w:ascii="宋体" w:hAnsi="宋体" w:eastAsia="宋体" w:cs="宋体"/>
          <w:b/>
          <w:bCs/>
        </w:rPr>
        <w:t>一、学院简介</w:t>
      </w:r>
    </w:p>
    <w:p>
      <w:pPr>
        <w:widowControl/>
        <w:spacing w:line="360" w:lineRule="auto"/>
        <w:ind w:firstLine="420" w:firstLineChars="200"/>
        <w:rPr>
          <w:rFonts w:ascii="宋体" w:hAnsi="宋体" w:cs="宋体"/>
          <w:szCs w:val="21"/>
        </w:rPr>
      </w:pPr>
      <w:r>
        <w:rPr>
          <w:rFonts w:hint="eastAsia" w:ascii="宋体" w:hAnsi="宋体" w:cs="宋体"/>
          <w:szCs w:val="21"/>
        </w:rPr>
        <w:t>中国海洋大学医药学院是我国高校较早从事海洋药物研究与开发的教学科研单位之一，其前身为我国著名海洋药物学家、中国现代海洋药物研究的开拓者与奠基人、中国工程院院士管华诗先生于1980年组建的山东海洋学院水产系海洋药物研究室。经过近四十年的发展，学院形成了以海洋药物研究为特色的完整的药学人才培养和科学研究体系，已成为国内外海洋药物研究领域一支重要的教学、科研力量。</w:t>
      </w:r>
    </w:p>
    <w:p>
      <w:pPr>
        <w:widowControl/>
        <w:spacing w:line="360" w:lineRule="auto"/>
        <w:ind w:firstLine="420" w:firstLineChars="200"/>
        <w:rPr>
          <w:rFonts w:ascii="宋体" w:hAnsi="宋体" w:cs="宋体"/>
          <w:szCs w:val="21"/>
        </w:rPr>
      </w:pPr>
      <w:r>
        <w:rPr>
          <w:rFonts w:hint="eastAsia" w:ascii="宋体" w:hAnsi="宋体" w:cs="宋体"/>
          <w:szCs w:val="21"/>
        </w:rPr>
        <w:t>学院现有教职工</w:t>
      </w:r>
      <w:r>
        <w:rPr>
          <w:rFonts w:ascii="宋体" w:hAnsi="宋体" w:cs="宋体"/>
          <w:szCs w:val="21"/>
        </w:rPr>
        <w:t>153</w:t>
      </w:r>
      <w:r>
        <w:rPr>
          <w:rFonts w:hint="eastAsia" w:ascii="宋体" w:hAnsi="宋体" w:cs="宋体"/>
          <w:szCs w:val="21"/>
        </w:rPr>
        <w:t>人，其中专任教师</w:t>
      </w:r>
      <w:r>
        <w:rPr>
          <w:rFonts w:ascii="宋体" w:hAnsi="宋体" w:cs="宋体"/>
          <w:szCs w:val="21"/>
        </w:rPr>
        <w:t>68</w:t>
      </w:r>
      <w:r>
        <w:rPr>
          <w:rFonts w:hint="eastAsia" w:ascii="宋体" w:hAnsi="宋体" w:cs="宋体"/>
          <w:szCs w:val="21"/>
        </w:rPr>
        <w:t>人，教授</w:t>
      </w:r>
      <w:r>
        <w:rPr>
          <w:rFonts w:ascii="宋体" w:hAnsi="宋体" w:cs="宋体"/>
          <w:szCs w:val="21"/>
        </w:rPr>
        <w:t>41</w:t>
      </w:r>
      <w:r>
        <w:rPr>
          <w:rFonts w:hint="eastAsia" w:ascii="宋体" w:hAnsi="宋体" w:cs="宋体"/>
          <w:szCs w:val="21"/>
        </w:rPr>
        <w:t>人，副教授</w:t>
      </w:r>
      <w:r>
        <w:rPr>
          <w:rFonts w:ascii="宋体" w:hAnsi="宋体" w:cs="宋体"/>
          <w:szCs w:val="21"/>
        </w:rPr>
        <w:t>23</w:t>
      </w:r>
      <w:r>
        <w:rPr>
          <w:rFonts w:hint="eastAsia" w:ascii="宋体" w:hAnsi="宋体" w:cs="宋体"/>
          <w:szCs w:val="21"/>
        </w:rPr>
        <w:t>人，其中：中国工程院院士1名、“青年千人计划”1名、“国家优青”2名、教育部</w:t>
      </w:r>
      <w:r>
        <w:rPr>
          <w:rFonts w:ascii="宋体" w:hAnsi="宋体" w:cs="宋体"/>
          <w:szCs w:val="21"/>
        </w:rPr>
        <w:t>“</w:t>
      </w:r>
      <w:r>
        <w:rPr>
          <w:rFonts w:hint="eastAsia" w:ascii="宋体" w:hAnsi="宋体" w:cs="宋体"/>
          <w:szCs w:val="21"/>
        </w:rPr>
        <w:t>青年</w:t>
      </w:r>
      <w:r>
        <w:rPr>
          <w:rFonts w:ascii="宋体" w:hAnsi="宋体" w:cs="宋体"/>
          <w:szCs w:val="21"/>
        </w:rPr>
        <w:t>长江学者”1</w:t>
      </w:r>
      <w:r>
        <w:rPr>
          <w:rFonts w:hint="eastAsia" w:ascii="宋体" w:hAnsi="宋体" w:cs="宋体"/>
          <w:szCs w:val="21"/>
        </w:rPr>
        <w:t>名</w:t>
      </w:r>
      <w:r>
        <w:rPr>
          <w:rFonts w:ascii="宋体" w:hAnsi="宋体" w:cs="宋体"/>
          <w:szCs w:val="21"/>
        </w:rPr>
        <w:t>、</w:t>
      </w:r>
      <w:r>
        <w:rPr>
          <w:rFonts w:hint="eastAsia" w:ascii="宋体" w:hAnsi="宋体" w:cs="宋体"/>
          <w:szCs w:val="21"/>
        </w:rPr>
        <w:t>山东省“泰山学者”</w:t>
      </w:r>
      <w:r>
        <w:rPr>
          <w:rFonts w:ascii="宋体" w:hAnsi="宋体" w:cs="宋体"/>
          <w:szCs w:val="21"/>
        </w:rPr>
        <w:t>9</w:t>
      </w:r>
      <w:r>
        <w:rPr>
          <w:rFonts w:hint="eastAsia" w:ascii="宋体" w:hAnsi="宋体" w:cs="宋体"/>
          <w:szCs w:val="21"/>
        </w:rPr>
        <w:t>名、教育部“新世纪优秀人才” 8名。为教育部、山东省优秀创新团队。</w:t>
      </w:r>
    </w:p>
    <w:p>
      <w:pPr>
        <w:widowControl/>
        <w:spacing w:line="360" w:lineRule="auto"/>
        <w:ind w:firstLine="420" w:firstLineChars="200"/>
        <w:rPr>
          <w:rFonts w:ascii="宋体" w:hAnsi="宋体" w:cs="宋体"/>
          <w:szCs w:val="21"/>
        </w:rPr>
      </w:pPr>
      <w:r>
        <w:rPr>
          <w:rFonts w:hint="eastAsia" w:ascii="宋体" w:hAnsi="宋体" w:cs="宋体"/>
          <w:szCs w:val="21"/>
        </w:rPr>
        <w:t>学院设有一个药学本科专业，是山东省品牌专业和教育部高等学校特色专业，2019年入选首批国家级一流本科专业建设点。拥有药学一级学科博士学位和硕士学位授予权、药学博士后流动站、以及药学和制药工程硕士专业学位授权点，形成了从学士、硕士、博士到博士后完整的药学人才培养体系。药学学科是学校“211工程”、“985工程”、“双一流”重点建设学科之一。</w:t>
      </w:r>
    </w:p>
    <w:p>
      <w:pPr>
        <w:widowControl/>
        <w:spacing w:line="360" w:lineRule="auto"/>
        <w:ind w:firstLine="420" w:firstLineChars="200"/>
        <w:rPr>
          <w:rFonts w:ascii="宋体" w:hAnsi="宋体" w:cs="宋体"/>
          <w:szCs w:val="21"/>
        </w:rPr>
      </w:pPr>
      <w:r>
        <w:rPr>
          <w:rFonts w:hint="eastAsia" w:ascii="宋体" w:hAnsi="宋体" w:cs="宋体"/>
          <w:szCs w:val="21"/>
        </w:rPr>
        <w:t>学院以海洋生物资源为基础，以危害人类生命与健康的重大疾病防治药物的研究为目标，深入开展海洋药物的基础及应用基础研究，推进成果的转化和产业化。学院拥有多层次的科研创新平台，包括：青岛海洋科学与技术试点国家实验室—海洋药物与生物制品功能实验室、国家海洋药物工程技术研究中心、海洋药物教育部重点实验室、山东省糖科学与糖工程重点实验室、山东省海洋药物研究开发协同创新中心，以及旨在加速科技成果转化的青岛海洋生物医药研究院，形成了科学→技术→工程→产业各环节紧密衔接的科技链条，构建了完整的海洋药物研发创新平台。</w:t>
      </w:r>
    </w:p>
    <w:p>
      <w:pPr>
        <w:widowControl/>
        <w:spacing w:line="360" w:lineRule="auto"/>
        <w:ind w:firstLine="420" w:firstLineChars="200"/>
        <w:rPr>
          <w:rFonts w:ascii="宋体" w:hAnsi="宋体" w:cs="宋体"/>
          <w:szCs w:val="21"/>
        </w:rPr>
      </w:pPr>
      <w:r>
        <w:rPr>
          <w:rFonts w:hint="eastAsia" w:ascii="宋体" w:hAnsi="宋体" w:cs="宋体"/>
          <w:szCs w:val="21"/>
        </w:rPr>
        <w:t>学院自成立以来取得了一系列令人瞩目的研究成果，研制的我国第一个现代海洋新药--藻酸双酯钠（PSS）等4个海洋药物及系列海洋功能制品，均实现了产业化；有4 个Ⅰ类海洋候选新药进入临床研究，其中，治疗阿尔茨海默症海洋新药GV</w:t>
      </w:r>
      <w:r>
        <w:rPr>
          <w:rFonts w:ascii="宋体" w:hAnsi="宋体" w:cs="宋体"/>
          <w:szCs w:val="21"/>
        </w:rPr>
        <w:t>-</w:t>
      </w:r>
      <w:r>
        <w:rPr>
          <w:rFonts w:hint="eastAsia" w:ascii="宋体" w:hAnsi="宋体" w:cs="宋体"/>
          <w:szCs w:val="21"/>
        </w:rPr>
        <w:t>971于2019年11月</w:t>
      </w:r>
      <w:r>
        <w:rPr>
          <w:rFonts w:ascii="宋体" w:hAnsi="宋体" w:cs="宋体"/>
          <w:szCs w:val="21"/>
        </w:rPr>
        <w:t>获批上市</w:t>
      </w:r>
      <w:r>
        <w:rPr>
          <w:rFonts w:hint="eastAsia" w:ascii="宋体" w:hAnsi="宋体" w:cs="宋体"/>
          <w:szCs w:val="21"/>
        </w:rPr>
        <w:t>；“海洋特征寡糖的制备技术（糖库构建）与应用开发”荣获了海洋与生命科学领域的首个国家技术发明一等奖; 首次调查掌握了中国近海海洋药用生物资源状况与分布格局，编撰出版了我国首部大型海洋药物典籍《中华海洋本草》。上述成果产生了巨大的社会和经济效益，为我国海洋制药业的兴起和发展做出了基础性贡献。</w:t>
      </w:r>
    </w:p>
    <w:p>
      <w:pPr>
        <w:widowControl/>
        <w:spacing w:line="360" w:lineRule="auto"/>
        <w:ind w:firstLine="420" w:firstLineChars="200"/>
        <w:rPr>
          <w:rFonts w:ascii="宋体" w:hAnsi="宋体" w:cs="宋体"/>
          <w:szCs w:val="21"/>
        </w:rPr>
      </w:pPr>
      <w:r>
        <w:rPr>
          <w:rFonts w:hint="eastAsia" w:ascii="宋体" w:hAnsi="宋体" w:cs="宋体"/>
          <w:szCs w:val="21"/>
        </w:rPr>
        <w:t xml:space="preserve"> 学院主持承担了包括国家“973计划”、“863计划”、“重大新药创制”科技重大专项、国家重点研发计划、国家自然科学基金等各类科研项目，是国家海洋药物研究领域重大科技计划主要承担单位之一。近五年，学院发表SCI收录论文600余篇，获授权发明专利70项，实现科技成果转化12项。 </w:t>
      </w:r>
    </w:p>
    <w:p>
      <w:pPr>
        <w:widowControl/>
        <w:spacing w:line="360" w:lineRule="auto"/>
        <w:ind w:firstLine="420" w:firstLineChars="200"/>
        <w:rPr>
          <w:rFonts w:ascii="宋体" w:hAnsi="宋体" w:cs="宋体"/>
          <w:szCs w:val="21"/>
        </w:rPr>
      </w:pPr>
      <w:r>
        <w:rPr>
          <w:rFonts w:hint="eastAsia" w:ascii="宋体" w:hAnsi="宋体" w:cs="宋体"/>
          <w:szCs w:val="21"/>
        </w:rPr>
        <w:t>学院十分注重学术交流与合作，在资源共享、人员互派、科学研究等方面与国内外知名的高校和科研院所建立了密切的合作网络。毕业研究生主要从事科研、教学、药物和生物制品的研发等工作。</w:t>
      </w:r>
    </w:p>
    <w:p>
      <w:pPr>
        <w:pStyle w:val="7"/>
        <w:spacing w:line="400" w:lineRule="exact"/>
        <w:ind w:left="0" w:leftChars="0" w:firstLine="562" w:firstLineChars="200"/>
        <w:rPr>
          <w:rFonts w:ascii="宋体" w:hAnsi="宋体" w:eastAsia="宋体" w:cs="宋体"/>
          <w:b/>
          <w:bCs/>
        </w:rPr>
      </w:pPr>
      <w:r>
        <w:rPr>
          <w:rFonts w:hint="eastAsia" w:ascii="宋体" w:hAnsi="宋体" w:eastAsia="宋体" w:cs="宋体"/>
          <w:b/>
          <w:bCs/>
        </w:rPr>
        <w:t>二、招生专业目录</w:t>
      </w:r>
    </w:p>
    <w:p>
      <w:pPr>
        <w:spacing w:line="400" w:lineRule="exact"/>
        <w:ind w:firstLine="630" w:firstLineChars="300"/>
        <w:rPr>
          <w:szCs w:val="21"/>
        </w:rPr>
      </w:pPr>
      <w:r>
        <w:rPr>
          <w:szCs w:val="21"/>
        </w:rPr>
        <w:t>联系电话：0532-</w:t>
      </w:r>
      <w:r>
        <w:rPr>
          <w:rFonts w:hint="eastAsia"/>
          <w:szCs w:val="21"/>
        </w:rPr>
        <w:t>82031901</w:t>
      </w:r>
      <w:r>
        <w:rPr>
          <w:szCs w:val="21"/>
        </w:rPr>
        <w:t xml:space="preserve">       联系人：</w:t>
      </w:r>
      <w:r>
        <w:rPr>
          <w:rFonts w:hint="eastAsia"/>
          <w:szCs w:val="21"/>
        </w:rPr>
        <w:t>王</w:t>
      </w:r>
      <w:r>
        <w:rPr>
          <w:szCs w:val="21"/>
        </w:rPr>
        <w:t>老师</w:t>
      </w:r>
    </w:p>
    <w:tbl>
      <w:tblPr>
        <w:tblStyle w:val="13"/>
        <w:tblW w:w="10129" w:type="dxa"/>
        <w:tblInd w:w="-210" w:type="dxa"/>
        <w:tblLayout w:type="fixed"/>
        <w:tblCellMar>
          <w:top w:w="0" w:type="dxa"/>
          <w:left w:w="108" w:type="dxa"/>
          <w:bottom w:w="0" w:type="dxa"/>
          <w:right w:w="108" w:type="dxa"/>
        </w:tblCellMar>
      </w:tblPr>
      <w:tblGrid>
        <w:gridCol w:w="3610"/>
        <w:gridCol w:w="1320"/>
        <w:gridCol w:w="1360"/>
        <w:gridCol w:w="3839"/>
      </w:tblGrid>
      <w:tr>
        <w:tblPrEx>
          <w:tblCellMar>
            <w:top w:w="0" w:type="dxa"/>
            <w:left w:w="108" w:type="dxa"/>
            <w:bottom w:w="0" w:type="dxa"/>
            <w:right w:w="108" w:type="dxa"/>
          </w:tblCellMar>
        </w:tblPrEx>
        <w:trPr>
          <w:trHeight w:val="555" w:hRule="atLeast"/>
          <w:tblHeader/>
        </w:trPr>
        <w:tc>
          <w:tcPr>
            <w:tcW w:w="36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center"/>
              <w:rPr>
                <w:rFonts w:hint="eastAsia" w:ascii="宋体" w:hAnsi="宋体" w:cs="宋体"/>
                <w:b/>
              </w:rPr>
            </w:pPr>
            <w:r>
              <w:rPr>
                <w:rFonts w:hint="eastAsia" w:ascii="宋体" w:hAnsi="宋体" w:cs="宋体"/>
                <w:b/>
              </w:rPr>
              <w:t>专业代码、名称</w:t>
            </w:r>
          </w:p>
          <w:p>
            <w:pPr>
              <w:widowControl/>
              <w:spacing w:line="400" w:lineRule="exact"/>
              <w:jc w:val="center"/>
              <w:rPr>
                <w:rFonts w:hint="eastAsia" w:ascii="宋体" w:hAnsi="宋体" w:cs="宋体"/>
                <w:b/>
              </w:rPr>
            </w:pPr>
            <w:r>
              <w:rPr>
                <w:rFonts w:hint="eastAsia" w:ascii="宋体" w:hAnsi="宋体" w:cs="宋体"/>
                <w:b/>
              </w:rPr>
              <w:t>及研究方向</w:t>
            </w:r>
          </w:p>
        </w:tc>
        <w:tc>
          <w:tcPr>
            <w:tcW w:w="1320"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jc w:val="center"/>
              <w:rPr>
                <w:rFonts w:hint="eastAsia" w:ascii="宋体" w:hAnsi="宋体" w:cs="宋体"/>
                <w:b/>
              </w:rPr>
            </w:pPr>
            <w:r>
              <w:rPr>
                <w:rFonts w:hint="eastAsia" w:ascii="宋体" w:hAnsi="宋体" w:cs="宋体"/>
                <w:b/>
              </w:rPr>
              <w:t>指导</w:t>
            </w:r>
          </w:p>
          <w:p>
            <w:pPr>
              <w:widowControl/>
              <w:spacing w:line="400" w:lineRule="exact"/>
              <w:jc w:val="center"/>
              <w:rPr>
                <w:rFonts w:hint="eastAsia" w:ascii="宋体" w:hAnsi="宋体" w:cs="宋体"/>
                <w:b/>
              </w:rPr>
            </w:pPr>
            <w:r>
              <w:rPr>
                <w:rFonts w:hint="eastAsia" w:ascii="宋体" w:hAnsi="宋体" w:cs="宋体"/>
                <w:b/>
              </w:rPr>
              <w:t>教师</w:t>
            </w:r>
          </w:p>
        </w:tc>
        <w:tc>
          <w:tcPr>
            <w:tcW w:w="1360"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jc w:val="center"/>
              <w:rPr>
                <w:rFonts w:hint="eastAsia" w:ascii="宋体" w:hAnsi="宋体" w:cs="宋体"/>
                <w:b/>
              </w:rPr>
            </w:pPr>
            <w:r>
              <w:rPr>
                <w:rFonts w:hint="eastAsia" w:ascii="宋体" w:hAnsi="宋体" w:cs="宋体"/>
                <w:b/>
              </w:rPr>
              <w:t>全日制</w:t>
            </w:r>
          </w:p>
          <w:p>
            <w:pPr>
              <w:widowControl/>
              <w:spacing w:line="400" w:lineRule="exact"/>
              <w:jc w:val="center"/>
              <w:rPr>
                <w:rFonts w:hint="eastAsia" w:ascii="宋体" w:hAnsi="宋体" w:cs="宋体"/>
                <w:b/>
              </w:rPr>
            </w:pPr>
            <w:r>
              <w:rPr>
                <w:rFonts w:hint="eastAsia" w:ascii="宋体" w:hAnsi="宋体" w:cs="宋体"/>
                <w:b/>
              </w:rPr>
              <w:t>拟招生人数</w:t>
            </w:r>
          </w:p>
        </w:tc>
        <w:tc>
          <w:tcPr>
            <w:tcW w:w="3839"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jc w:val="center"/>
            </w:pPr>
            <w:r>
              <w:rPr>
                <w:rFonts w:hint="eastAsia" w:ascii="宋体" w:hAnsi="宋体" w:cs="宋体"/>
                <w:b/>
              </w:rPr>
              <w:t>专业基础知识笔试科目</w:t>
            </w:r>
          </w:p>
        </w:tc>
      </w:tr>
      <w:tr>
        <w:tblPrEx>
          <w:tblCellMar>
            <w:top w:w="0" w:type="dxa"/>
            <w:left w:w="108" w:type="dxa"/>
            <w:bottom w:w="0" w:type="dxa"/>
            <w:right w:w="108" w:type="dxa"/>
          </w:tblCellMar>
        </w:tblPrEx>
        <w:trPr>
          <w:trHeight w:val="650" w:hRule="atLeast"/>
        </w:trPr>
        <w:tc>
          <w:tcPr>
            <w:tcW w:w="10129" w:type="dxa"/>
            <w:gridSpan w:val="4"/>
            <w:tcBorders>
              <w:top w:val="single" w:color="auto" w:sz="4" w:space="0"/>
              <w:left w:val="single" w:color="auto" w:sz="4" w:space="0"/>
              <w:bottom w:val="single" w:color="auto" w:sz="6" w:space="0"/>
              <w:right w:val="single" w:color="auto" w:sz="4" w:space="0"/>
            </w:tcBorders>
            <w:shd w:val="clear" w:color="auto" w:fill="FFFFFF"/>
            <w:vAlign w:val="center"/>
          </w:tcPr>
          <w:p>
            <w:pPr>
              <w:widowControl/>
              <w:spacing w:line="400" w:lineRule="exact"/>
            </w:pPr>
            <w:r>
              <w:rPr>
                <w:rFonts w:hint="eastAsia" w:eastAsia="黑体"/>
                <w:b/>
                <w:bCs/>
                <w:kern w:val="0"/>
                <w:szCs w:val="21"/>
              </w:rPr>
              <w:t>100701药物化学</w:t>
            </w:r>
          </w:p>
        </w:tc>
      </w:tr>
      <w:tr>
        <w:tblPrEx>
          <w:tblCellMar>
            <w:top w:w="0" w:type="dxa"/>
            <w:left w:w="108" w:type="dxa"/>
            <w:bottom w:w="0" w:type="dxa"/>
            <w:right w:w="108" w:type="dxa"/>
          </w:tblCellMar>
        </w:tblPrEx>
        <w:trPr>
          <w:trHeight w:val="1709" w:hRule="atLeast"/>
        </w:trPr>
        <w:tc>
          <w:tcPr>
            <w:tcW w:w="3610" w:type="dxa"/>
            <w:tcBorders>
              <w:top w:val="single" w:color="auto" w:sz="6" w:space="0"/>
              <w:left w:val="single" w:color="auto" w:sz="4" w:space="0"/>
              <w:bottom w:val="single" w:color="auto" w:sz="6" w:space="0"/>
              <w:right w:val="nil"/>
            </w:tcBorders>
            <w:shd w:val="clear" w:color="auto" w:fill="FFFFFF"/>
            <w:vAlign w:val="center"/>
          </w:tcPr>
          <w:p>
            <w:pPr>
              <w:jc w:val="left"/>
              <w:rPr>
                <w:rFonts w:cs="宋体"/>
                <w:kern w:val="0"/>
                <w:szCs w:val="21"/>
              </w:rPr>
            </w:pPr>
            <w:r>
              <w:rPr>
                <w:rFonts w:cs="宋体"/>
                <w:kern w:val="0"/>
                <w:szCs w:val="21"/>
              </w:rPr>
              <w:t>0</w:t>
            </w:r>
            <w:r>
              <w:rPr>
                <w:rFonts w:hint="eastAsia" w:cs="宋体"/>
                <w:kern w:val="0"/>
                <w:szCs w:val="21"/>
              </w:rPr>
              <w:t>1药物设计与合成</w:t>
            </w:r>
          </w:p>
        </w:tc>
        <w:tc>
          <w:tcPr>
            <w:tcW w:w="1320" w:type="dxa"/>
            <w:tcBorders>
              <w:top w:val="single" w:color="auto" w:sz="6" w:space="0"/>
              <w:left w:val="single" w:color="auto" w:sz="4" w:space="0"/>
              <w:bottom w:val="single" w:color="auto" w:sz="6" w:space="0"/>
              <w:right w:val="nil"/>
            </w:tcBorders>
            <w:shd w:val="clear" w:color="auto" w:fill="FFFFFF"/>
            <w:vAlign w:val="center"/>
          </w:tcPr>
          <w:p>
            <w:pPr>
              <w:spacing w:line="240" w:lineRule="auto"/>
              <w:jc w:val="center"/>
              <w:rPr>
                <w:rFonts w:cs="宋体"/>
                <w:kern w:val="0"/>
                <w:szCs w:val="21"/>
              </w:rPr>
            </w:pPr>
            <w:r>
              <w:rPr>
                <w:rFonts w:hint="eastAsia" w:cs="宋体"/>
                <w:kern w:val="0"/>
                <w:szCs w:val="21"/>
              </w:rPr>
              <w:t>江  涛</w:t>
            </w:r>
          </w:p>
          <w:p>
            <w:pPr>
              <w:spacing w:line="240" w:lineRule="auto"/>
              <w:jc w:val="center"/>
              <w:rPr>
                <w:rFonts w:cs="宋体"/>
                <w:kern w:val="0"/>
                <w:szCs w:val="21"/>
              </w:rPr>
            </w:pPr>
            <w:r>
              <w:rPr>
                <w:rFonts w:hint="eastAsia" w:cs="宋体"/>
                <w:kern w:val="0"/>
                <w:szCs w:val="21"/>
              </w:rPr>
              <w:t>徐  涛</w:t>
            </w:r>
          </w:p>
          <w:p>
            <w:pPr>
              <w:spacing w:line="240" w:lineRule="auto"/>
              <w:jc w:val="center"/>
              <w:rPr>
                <w:rFonts w:cs="宋体"/>
                <w:kern w:val="0"/>
                <w:szCs w:val="21"/>
              </w:rPr>
            </w:pPr>
            <w:r>
              <w:rPr>
                <w:rFonts w:hint="eastAsia" w:cs="宋体"/>
                <w:kern w:val="0"/>
                <w:szCs w:val="21"/>
              </w:rPr>
              <w:t>李  明</w:t>
            </w:r>
          </w:p>
          <w:p>
            <w:pPr>
              <w:spacing w:line="240" w:lineRule="auto"/>
              <w:jc w:val="center"/>
              <w:rPr>
                <w:rFonts w:cs="宋体"/>
                <w:kern w:val="0"/>
                <w:szCs w:val="21"/>
              </w:rPr>
            </w:pPr>
            <w:r>
              <w:rPr>
                <w:rFonts w:hint="eastAsia" w:cs="宋体"/>
                <w:kern w:val="0"/>
                <w:szCs w:val="21"/>
              </w:rPr>
              <w:t>秦  冲</w:t>
            </w:r>
          </w:p>
          <w:p>
            <w:pPr>
              <w:spacing w:line="240" w:lineRule="auto"/>
              <w:jc w:val="center"/>
              <w:rPr>
                <w:rFonts w:cs="宋体"/>
                <w:kern w:val="0"/>
                <w:szCs w:val="21"/>
              </w:rPr>
            </w:pPr>
            <w:r>
              <w:rPr>
                <w:rFonts w:hint="eastAsia" w:cs="宋体"/>
                <w:kern w:val="0"/>
                <w:szCs w:val="21"/>
              </w:rPr>
              <w:t>任为武</w:t>
            </w:r>
          </w:p>
          <w:p>
            <w:pPr>
              <w:spacing w:line="240" w:lineRule="auto"/>
              <w:jc w:val="center"/>
              <w:rPr>
                <w:rFonts w:cs="宋体"/>
                <w:kern w:val="0"/>
                <w:szCs w:val="21"/>
              </w:rPr>
            </w:pPr>
            <w:r>
              <w:rPr>
                <w:rFonts w:hint="eastAsia" w:cs="宋体"/>
                <w:kern w:val="0"/>
                <w:szCs w:val="21"/>
              </w:rPr>
              <w:t xml:space="preserve">王 </w:t>
            </w:r>
            <w:r>
              <w:rPr>
                <w:rFonts w:hint="eastAsia" w:cs="宋体"/>
                <w:kern w:val="0"/>
                <w:szCs w:val="21"/>
                <w:lang w:val="en-US" w:eastAsia="zh-CN"/>
              </w:rPr>
              <w:t xml:space="preserve"> </w:t>
            </w:r>
            <w:bookmarkStart w:id="1" w:name="_GoBack"/>
            <w:bookmarkEnd w:id="1"/>
            <w:r>
              <w:rPr>
                <w:rFonts w:hint="eastAsia" w:cs="宋体"/>
                <w:kern w:val="0"/>
                <w:szCs w:val="21"/>
              </w:rPr>
              <w:t>勇</w:t>
            </w:r>
          </w:p>
        </w:tc>
        <w:tc>
          <w:tcPr>
            <w:tcW w:w="1360" w:type="dxa"/>
            <w:vMerge w:val="restart"/>
            <w:tcBorders>
              <w:top w:val="single" w:color="auto" w:sz="6" w:space="0"/>
              <w:left w:val="single" w:color="auto" w:sz="4" w:space="0"/>
              <w:right w:val="nil"/>
            </w:tcBorders>
            <w:shd w:val="clear" w:color="auto" w:fill="FFFFFF"/>
            <w:vAlign w:val="center"/>
          </w:tcPr>
          <w:p>
            <w:pPr>
              <w:widowControl/>
              <w:spacing w:line="400" w:lineRule="exact"/>
              <w:jc w:val="center"/>
              <w:rPr>
                <w:b w:val="0"/>
                <w:bCs w:val="0"/>
                <w:color w:val="FF0000"/>
                <w:kern w:val="0"/>
                <w:szCs w:val="21"/>
              </w:rPr>
            </w:pPr>
            <w:r>
              <w:rPr>
                <w:rFonts w:hint="eastAsia"/>
                <w:b w:val="0"/>
                <w:bCs w:val="0"/>
                <w:color w:val="auto"/>
                <w:kern w:val="0"/>
                <w:szCs w:val="21"/>
                <w:lang w:val="en-US" w:eastAsia="zh-CN"/>
              </w:rPr>
              <w:t>14</w:t>
            </w:r>
            <w:r>
              <w:rPr>
                <w:b w:val="0"/>
                <w:bCs w:val="0"/>
                <w:color w:val="FF0000"/>
                <w:kern w:val="0"/>
                <w:szCs w:val="21"/>
              </w:rPr>
              <w:t>　</w:t>
            </w:r>
          </w:p>
          <w:p>
            <w:pPr>
              <w:widowControl/>
              <w:spacing w:line="400" w:lineRule="exact"/>
              <w:jc w:val="center"/>
              <w:rPr>
                <w:b w:val="0"/>
                <w:bCs w:val="0"/>
                <w:color w:val="FF0000"/>
                <w:kern w:val="0"/>
                <w:szCs w:val="21"/>
              </w:rPr>
            </w:pPr>
            <w:r>
              <w:rPr>
                <w:b w:val="0"/>
                <w:bCs w:val="0"/>
                <w:color w:val="FF0000"/>
                <w:kern w:val="0"/>
                <w:szCs w:val="21"/>
              </w:rPr>
              <w:t>　</w:t>
            </w:r>
          </w:p>
          <w:p>
            <w:pPr>
              <w:widowControl/>
              <w:spacing w:line="400" w:lineRule="exact"/>
              <w:jc w:val="center"/>
              <w:rPr>
                <w:b w:val="0"/>
                <w:bCs w:val="0"/>
                <w:color w:val="FF0000"/>
                <w:kern w:val="0"/>
                <w:szCs w:val="21"/>
              </w:rPr>
            </w:pPr>
            <w:r>
              <w:rPr>
                <w:b w:val="0"/>
                <w:bCs w:val="0"/>
                <w:color w:val="FF0000"/>
                <w:kern w:val="0"/>
                <w:szCs w:val="21"/>
              </w:rPr>
              <w:t>　</w:t>
            </w:r>
          </w:p>
        </w:tc>
        <w:tc>
          <w:tcPr>
            <w:tcW w:w="3839" w:type="dxa"/>
            <w:vMerge w:val="restart"/>
            <w:tcBorders>
              <w:top w:val="single" w:color="auto" w:sz="6" w:space="0"/>
              <w:left w:val="single" w:color="auto" w:sz="4" w:space="0"/>
              <w:right w:val="single" w:color="auto" w:sz="4" w:space="0"/>
            </w:tcBorders>
            <w:shd w:val="clear" w:color="auto" w:fill="FFFFFF"/>
          </w:tcPr>
          <w:p>
            <w:pPr>
              <w:widowControl/>
              <w:spacing w:line="400" w:lineRule="exact"/>
              <w:rPr>
                <w:rFonts w:cs="宋体"/>
                <w:b w:val="0"/>
                <w:bCs w:val="0"/>
                <w:kern w:val="0"/>
              </w:rPr>
            </w:pPr>
          </w:p>
          <w:p>
            <w:pPr>
              <w:widowControl/>
              <w:spacing w:line="400" w:lineRule="exact"/>
              <w:rPr>
                <w:rFonts w:cs="宋体"/>
                <w:b w:val="0"/>
                <w:bCs w:val="0"/>
                <w:kern w:val="0"/>
              </w:rPr>
            </w:pPr>
          </w:p>
          <w:p>
            <w:pPr>
              <w:widowControl/>
              <w:spacing w:line="400" w:lineRule="exact"/>
              <w:rPr>
                <w:rFonts w:cs="宋体"/>
                <w:b w:val="0"/>
                <w:bCs w:val="0"/>
                <w:kern w:val="0"/>
              </w:rPr>
            </w:pPr>
          </w:p>
          <w:p>
            <w:pPr>
              <w:widowControl/>
              <w:spacing w:line="400" w:lineRule="exact"/>
              <w:rPr>
                <w:rFonts w:cs="宋体"/>
                <w:b w:val="0"/>
                <w:bCs w:val="0"/>
                <w:kern w:val="0"/>
              </w:rPr>
            </w:pPr>
          </w:p>
          <w:p>
            <w:pPr>
              <w:widowControl/>
              <w:spacing w:line="400" w:lineRule="exact"/>
              <w:rPr>
                <w:rFonts w:cs="宋体"/>
                <w:b w:val="0"/>
                <w:bCs w:val="0"/>
                <w:kern w:val="0"/>
              </w:rPr>
            </w:pPr>
          </w:p>
          <w:p>
            <w:pPr>
              <w:widowControl/>
              <w:spacing w:line="400" w:lineRule="exact"/>
              <w:rPr>
                <w:rFonts w:cs="宋体"/>
                <w:b w:val="0"/>
                <w:bCs w:val="0"/>
                <w:kern w:val="0"/>
              </w:rPr>
            </w:pPr>
          </w:p>
          <w:p>
            <w:pPr>
              <w:widowControl/>
              <w:spacing w:line="400" w:lineRule="exact"/>
              <w:rPr>
                <w:rFonts w:cs="宋体"/>
                <w:b w:val="0"/>
                <w:bCs w:val="0"/>
                <w:kern w:val="0"/>
              </w:rPr>
            </w:pPr>
          </w:p>
          <w:p>
            <w:pPr>
              <w:widowControl/>
              <w:spacing w:line="400" w:lineRule="exact"/>
              <w:rPr>
                <w:rFonts w:cs="宋体"/>
                <w:b w:val="0"/>
                <w:bCs w:val="0"/>
                <w:kern w:val="0"/>
              </w:rPr>
            </w:pPr>
          </w:p>
          <w:p>
            <w:pPr>
              <w:widowControl/>
              <w:spacing w:line="400" w:lineRule="exact"/>
              <w:rPr>
                <w:b w:val="0"/>
                <w:bCs w:val="0"/>
                <w:color w:val="FF0000"/>
                <w:kern w:val="0"/>
                <w:szCs w:val="21"/>
              </w:rPr>
            </w:pPr>
            <w:r>
              <w:rPr>
                <w:rFonts w:hint="eastAsia" w:cs="宋体"/>
                <w:b w:val="0"/>
                <w:bCs w:val="0"/>
                <w:kern w:val="0"/>
                <w:lang w:val="en-US" w:eastAsia="zh-CN"/>
              </w:rPr>
              <w:t>2261</w:t>
            </w:r>
            <w:r>
              <w:rPr>
                <w:rFonts w:hint="eastAsia" w:cs="宋体"/>
                <w:b w:val="0"/>
                <w:bCs w:val="0"/>
                <w:kern w:val="0"/>
              </w:rPr>
              <w:t>天然药物化学或</w:t>
            </w:r>
            <w:r>
              <w:rPr>
                <w:rFonts w:hint="eastAsia" w:cs="宋体"/>
                <w:b w:val="0"/>
                <w:bCs w:val="0"/>
                <w:kern w:val="0"/>
                <w:lang w:val="en-US" w:eastAsia="zh-CN"/>
              </w:rPr>
              <w:t>2262</w:t>
            </w:r>
            <w:r>
              <w:rPr>
                <w:rFonts w:hint="eastAsia" w:cs="宋体"/>
                <w:b w:val="0"/>
                <w:bCs w:val="0"/>
                <w:kern w:val="0"/>
              </w:rPr>
              <w:t>微生物学或</w:t>
            </w:r>
            <w:r>
              <w:rPr>
                <w:rFonts w:hint="eastAsia" w:cs="宋体"/>
                <w:b w:val="0"/>
                <w:bCs w:val="0"/>
                <w:kern w:val="0"/>
                <w:lang w:val="en-US" w:eastAsia="zh-CN"/>
              </w:rPr>
              <w:t>2230</w:t>
            </w:r>
            <w:r>
              <w:rPr>
                <w:rFonts w:hint="eastAsia" w:cs="宋体"/>
                <w:b w:val="0"/>
                <w:bCs w:val="0"/>
                <w:kern w:val="0"/>
              </w:rPr>
              <w:t>高等有机化学或</w:t>
            </w:r>
            <w:r>
              <w:rPr>
                <w:rFonts w:hint="eastAsia" w:cs="宋体"/>
                <w:b w:val="0"/>
                <w:bCs w:val="0"/>
                <w:kern w:val="0"/>
                <w:lang w:val="en-US" w:eastAsia="zh-CN"/>
              </w:rPr>
              <w:t>2229</w:t>
            </w:r>
            <w:r>
              <w:rPr>
                <w:rFonts w:hint="eastAsia" w:cs="宋体"/>
                <w:b w:val="0"/>
                <w:bCs w:val="0"/>
                <w:kern w:val="0"/>
              </w:rPr>
              <w:t>高等药物化学或</w:t>
            </w:r>
            <w:r>
              <w:rPr>
                <w:rFonts w:hint="eastAsia" w:cs="宋体"/>
                <w:b w:val="0"/>
                <w:bCs w:val="0"/>
                <w:kern w:val="0"/>
                <w:lang w:val="en-US" w:eastAsia="zh-CN"/>
              </w:rPr>
              <w:t>2266</w:t>
            </w:r>
            <w:r>
              <w:rPr>
                <w:rFonts w:hint="eastAsia" w:cs="宋体"/>
                <w:b w:val="0"/>
                <w:bCs w:val="0"/>
                <w:kern w:val="0"/>
              </w:rPr>
              <w:t>生物化学</w:t>
            </w:r>
          </w:p>
        </w:tc>
      </w:tr>
      <w:tr>
        <w:tblPrEx>
          <w:tblCellMar>
            <w:top w:w="0" w:type="dxa"/>
            <w:left w:w="108" w:type="dxa"/>
            <w:bottom w:w="0" w:type="dxa"/>
            <w:right w:w="108" w:type="dxa"/>
          </w:tblCellMar>
        </w:tblPrEx>
        <w:trPr>
          <w:trHeight w:val="809" w:hRule="atLeast"/>
        </w:trPr>
        <w:tc>
          <w:tcPr>
            <w:tcW w:w="3610" w:type="dxa"/>
            <w:tcBorders>
              <w:top w:val="single" w:color="auto" w:sz="6" w:space="0"/>
              <w:left w:val="single" w:color="auto" w:sz="4" w:space="0"/>
              <w:bottom w:val="single" w:color="auto" w:sz="6" w:space="0"/>
              <w:right w:val="nil"/>
            </w:tcBorders>
            <w:shd w:val="clear" w:color="auto" w:fill="FFFFFF"/>
            <w:vAlign w:val="center"/>
          </w:tcPr>
          <w:p>
            <w:pPr>
              <w:rPr>
                <w:rFonts w:cs="宋体"/>
                <w:kern w:val="0"/>
                <w:szCs w:val="21"/>
              </w:rPr>
            </w:pPr>
            <w:r>
              <w:rPr>
                <w:rFonts w:hint="eastAsia" w:cs="宋体"/>
                <w:kern w:val="0"/>
                <w:szCs w:val="21"/>
              </w:rPr>
              <w:t>02天然产物全合成与合成方法学</w:t>
            </w:r>
          </w:p>
        </w:tc>
        <w:tc>
          <w:tcPr>
            <w:tcW w:w="1320" w:type="dxa"/>
            <w:tcBorders>
              <w:top w:val="single" w:color="auto" w:sz="6" w:space="0"/>
              <w:left w:val="single" w:color="auto" w:sz="4" w:space="0"/>
              <w:bottom w:val="single" w:color="auto" w:sz="6" w:space="0"/>
              <w:right w:val="nil"/>
            </w:tcBorders>
            <w:shd w:val="clear" w:color="auto" w:fill="FFFFFF"/>
            <w:vAlign w:val="center"/>
          </w:tcPr>
          <w:p>
            <w:pPr>
              <w:spacing w:line="240" w:lineRule="auto"/>
              <w:jc w:val="center"/>
              <w:rPr>
                <w:rFonts w:cs="宋体"/>
                <w:kern w:val="0"/>
                <w:szCs w:val="21"/>
              </w:rPr>
            </w:pPr>
            <w:r>
              <w:rPr>
                <w:rFonts w:hint="eastAsia" w:cs="宋体"/>
                <w:kern w:val="0"/>
                <w:szCs w:val="21"/>
              </w:rPr>
              <w:t>唐  宇</w:t>
            </w:r>
          </w:p>
          <w:p>
            <w:pPr>
              <w:spacing w:line="240" w:lineRule="auto"/>
              <w:jc w:val="center"/>
              <w:rPr>
                <w:rFonts w:cs="宋体"/>
                <w:kern w:val="0"/>
                <w:szCs w:val="21"/>
              </w:rPr>
            </w:pPr>
            <w:r>
              <w:rPr>
                <w:rFonts w:hint="eastAsia" w:cs="宋体"/>
                <w:kern w:val="0"/>
                <w:szCs w:val="21"/>
              </w:rPr>
              <w:t>徐  涛</w:t>
            </w:r>
          </w:p>
          <w:p>
            <w:pPr>
              <w:spacing w:line="240" w:lineRule="auto"/>
              <w:jc w:val="center"/>
              <w:rPr>
                <w:rFonts w:cs="宋体"/>
                <w:kern w:val="0"/>
                <w:szCs w:val="21"/>
              </w:rPr>
            </w:pPr>
            <w:r>
              <w:rPr>
                <w:rFonts w:hint="eastAsia" w:cs="宋体"/>
                <w:kern w:val="0"/>
                <w:szCs w:val="21"/>
              </w:rPr>
              <w:t>任为武</w:t>
            </w:r>
          </w:p>
        </w:tc>
        <w:tc>
          <w:tcPr>
            <w:tcW w:w="1360" w:type="dxa"/>
            <w:vMerge w:val="continue"/>
            <w:tcBorders>
              <w:left w:val="single" w:color="auto" w:sz="4" w:space="0"/>
              <w:right w:val="nil"/>
            </w:tcBorders>
            <w:shd w:val="clear" w:color="auto" w:fill="FFFFFF"/>
            <w:vAlign w:val="center"/>
          </w:tcPr>
          <w:p>
            <w:pPr>
              <w:widowControl/>
              <w:spacing w:line="400" w:lineRule="exact"/>
              <w:jc w:val="center"/>
              <w:rPr>
                <w:color w:val="FF0000"/>
                <w:kern w:val="0"/>
                <w:szCs w:val="21"/>
              </w:rPr>
            </w:pPr>
          </w:p>
        </w:tc>
        <w:tc>
          <w:tcPr>
            <w:tcW w:w="3839" w:type="dxa"/>
            <w:vMerge w:val="continue"/>
            <w:tcBorders>
              <w:left w:val="single" w:color="auto" w:sz="4" w:space="0"/>
              <w:right w:val="single" w:color="auto" w:sz="4" w:space="0"/>
            </w:tcBorders>
            <w:shd w:val="clear" w:color="auto" w:fill="FFFFFF"/>
          </w:tcPr>
          <w:p>
            <w:pPr>
              <w:widowControl/>
              <w:spacing w:line="400" w:lineRule="exact"/>
            </w:pPr>
          </w:p>
        </w:tc>
      </w:tr>
      <w:tr>
        <w:tblPrEx>
          <w:tblCellMar>
            <w:top w:w="0" w:type="dxa"/>
            <w:left w:w="108" w:type="dxa"/>
            <w:bottom w:w="0" w:type="dxa"/>
            <w:right w:w="108" w:type="dxa"/>
          </w:tblCellMar>
        </w:tblPrEx>
        <w:trPr>
          <w:trHeight w:val="988" w:hRule="atLeast"/>
        </w:trPr>
        <w:tc>
          <w:tcPr>
            <w:tcW w:w="3610" w:type="dxa"/>
            <w:tcBorders>
              <w:top w:val="single" w:color="auto" w:sz="6" w:space="0"/>
              <w:left w:val="single" w:color="auto" w:sz="4" w:space="0"/>
              <w:bottom w:val="single" w:color="auto" w:sz="6" w:space="0"/>
              <w:right w:val="nil"/>
            </w:tcBorders>
            <w:shd w:val="clear" w:color="auto" w:fill="FFFFFF"/>
            <w:vAlign w:val="center"/>
          </w:tcPr>
          <w:p>
            <w:pPr>
              <w:rPr>
                <w:rFonts w:cs="宋体"/>
                <w:kern w:val="0"/>
                <w:szCs w:val="21"/>
              </w:rPr>
            </w:pPr>
            <w:r>
              <w:rPr>
                <w:rFonts w:hint="eastAsia" w:cs="宋体"/>
                <w:kern w:val="0"/>
                <w:szCs w:val="21"/>
              </w:rPr>
              <w:t xml:space="preserve">03糖化学与糖类药物 </w:t>
            </w:r>
          </w:p>
        </w:tc>
        <w:tc>
          <w:tcPr>
            <w:tcW w:w="1320" w:type="dxa"/>
            <w:tcBorders>
              <w:top w:val="single" w:color="auto" w:sz="6" w:space="0"/>
              <w:left w:val="single" w:color="auto" w:sz="4" w:space="0"/>
              <w:bottom w:val="single" w:color="auto" w:sz="6" w:space="0"/>
              <w:right w:val="nil"/>
            </w:tcBorders>
            <w:shd w:val="clear" w:color="auto" w:fill="FFFFFF"/>
            <w:vAlign w:val="center"/>
          </w:tcPr>
          <w:p>
            <w:pPr>
              <w:spacing w:line="240" w:lineRule="auto"/>
              <w:jc w:val="center"/>
              <w:rPr>
                <w:rFonts w:cs="宋体"/>
                <w:kern w:val="0"/>
                <w:szCs w:val="21"/>
              </w:rPr>
            </w:pPr>
            <w:r>
              <w:rPr>
                <w:rFonts w:hint="eastAsia" w:cs="宋体"/>
                <w:kern w:val="0"/>
                <w:szCs w:val="21"/>
              </w:rPr>
              <w:t>李  明</w:t>
            </w:r>
          </w:p>
          <w:p>
            <w:pPr>
              <w:spacing w:line="240" w:lineRule="auto"/>
              <w:jc w:val="center"/>
              <w:rPr>
                <w:rFonts w:cs="宋体"/>
                <w:kern w:val="0"/>
                <w:szCs w:val="21"/>
              </w:rPr>
            </w:pPr>
            <w:r>
              <w:rPr>
                <w:rFonts w:hint="eastAsia" w:cs="宋体"/>
                <w:kern w:val="0"/>
                <w:szCs w:val="21"/>
              </w:rPr>
              <w:t>李春霞</w:t>
            </w:r>
          </w:p>
        </w:tc>
        <w:tc>
          <w:tcPr>
            <w:tcW w:w="1360" w:type="dxa"/>
            <w:vMerge w:val="continue"/>
            <w:tcBorders>
              <w:left w:val="single" w:color="auto" w:sz="4" w:space="0"/>
              <w:right w:val="nil"/>
            </w:tcBorders>
            <w:shd w:val="clear" w:color="auto" w:fill="FFFFFF"/>
            <w:vAlign w:val="center"/>
          </w:tcPr>
          <w:p>
            <w:pPr>
              <w:widowControl/>
              <w:spacing w:line="400" w:lineRule="exact"/>
              <w:jc w:val="center"/>
              <w:rPr>
                <w:color w:val="FF0000"/>
                <w:kern w:val="0"/>
                <w:szCs w:val="21"/>
              </w:rPr>
            </w:pPr>
          </w:p>
        </w:tc>
        <w:tc>
          <w:tcPr>
            <w:tcW w:w="3839" w:type="dxa"/>
            <w:vMerge w:val="continue"/>
            <w:tcBorders>
              <w:left w:val="single" w:color="auto" w:sz="4" w:space="0"/>
              <w:right w:val="single" w:color="auto" w:sz="4" w:space="0"/>
            </w:tcBorders>
            <w:shd w:val="clear" w:color="auto" w:fill="FFFFFF"/>
          </w:tcPr>
          <w:p>
            <w:pPr>
              <w:widowControl/>
              <w:spacing w:line="400" w:lineRule="exact"/>
            </w:pPr>
          </w:p>
        </w:tc>
      </w:tr>
      <w:tr>
        <w:tblPrEx>
          <w:tblCellMar>
            <w:top w:w="0" w:type="dxa"/>
            <w:left w:w="108" w:type="dxa"/>
            <w:bottom w:w="0" w:type="dxa"/>
            <w:right w:w="108" w:type="dxa"/>
          </w:tblCellMar>
        </w:tblPrEx>
        <w:trPr>
          <w:trHeight w:val="875" w:hRule="atLeast"/>
        </w:trPr>
        <w:tc>
          <w:tcPr>
            <w:tcW w:w="3610" w:type="dxa"/>
            <w:tcBorders>
              <w:top w:val="single" w:color="auto" w:sz="6" w:space="0"/>
              <w:left w:val="single" w:color="auto" w:sz="4" w:space="0"/>
              <w:bottom w:val="single" w:color="auto" w:sz="6" w:space="0"/>
              <w:right w:val="nil"/>
            </w:tcBorders>
            <w:shd w:val="clear" w:color="auto" w:fill="FFFFFF"/>
            <w:vAlign w:val="center"/>
          </w:tcPr>
          <w:p>
            <w:pPr>
              <w:ind w:left="315" w:hanging="315" w:hangingChars="150"/>
              <w:rPr>
                <w:rFonts w:cs="宋体"/>
                <w:kern w:val="0"/>
                <w:szCs w:val="21"/>
              </w:rPr>
            </w:pPr>
            <w:r>
              <w:rPr>
                <w:rFonts w:hint="eastAsia" w:cs="宋体"/>
                <w:kern w:val="0"/>
                <w:szCs w:val="21"/>
              </w:rPr>
              <w:t>04海洋含氮和卤代天然分子的发现与成药性优化</w:t>
            </w:r>
          </w:p>
          <w:p>
            <w:pPr>
              <w:widowControl/>
              <w:spacing w:line="400" w:lineRule="exact"/>
              <w:rPr>
                <w:rFonts w:cs="宋体"/>
                <w:kern w:val="0"/>
                <w:szCs w:val="21"/>
              </w:rPr>
            </w:pPr>
            <w:r>
              <w:rPr>
                <w:rFonts w:hint="eastAsia" w:cs="宋体"/>
                <w:kern w:val="0"/>
                <w:szCs w:val="21"/>
              </w:rPr>
              <w:t>05海洋微生物药物化学</w:t>
            </w:r>
          </w:p>
        </w:tc>
        <w:tc>
          <w:tcPr>
            <w:tcW w:w="1320" w:type="dxa"/>
            <w:tcBorders>
              <w:top w:val="single" w:color="auto" w:sz="6" w:space="0"/>
              <w:left w:val="single" w:color="auto" w:sz="4" w:space="0"/>
              <w:bottom w:val="single" w:color="auto" w:sz="6" w:space="0"/>
              <w:right w:val="nil"/>
            </w:tcBorders>
            <w:shd w:val="clear" w:color="auto" w:fill="FFFFFF"/>
            <w:vAlign w:val="center"/>
          </w:tcPr>
          <w:p>
            <w:pPr>
              <w:spacing w:line="240" w:lineRule="auto"/>
              <w:jc w:val="center"/>
              <w:rPr>
                <w:rFonts w:cs="宋体"/>
                <w:kern w:val="0"/>
                <w:szCs w:val="21"/>
              </w:rPr>
            </w:pPr>
            <w:r>
              <w:rPr>
                <w:rFonts w:hint="eastAsia" w:cs="宋体"/>
                <w:kern w:val="0"/>
                <w:szCs w:val="21"/>
              </w:rPr>
              <w:t>朱伟明</w:t>
            </w:r>
          </w:p>
          <w:p>
            <w:pPr>
              <w:widowControl/>
              <w:spacing w:line="240" w:lineRule="auto"/>
              <w:jc w:val="center"/>
              <w:rPr>
                <w:rFonts w:cs="宋体"/>
                <w:kern w:val="0"/>
                <w:szCs w:val="21"/>
              </w:rPr>
            </w:pPr>
            <w:r>
              <w:rPr>
                <w:rFonts w:hint="eastAsia" w:cs="宋体"/>
                <w:kern w:val="0"/>
                <w:szCs w:val="21"/>
              </w:rPr>
              <w:t>付  鹏</w:t>
            </w:r>
          </w:p>
        </w:tc>
        <w:tc>
          <w:tcPr>
            <w:tcW w:w="1360" w:type="dxa"/>
            <w:vMerge w:val="continue"/>
            <w:tcBorders>
              <w:left w:val="single" w:color="auto" w:sz="4" w:space="0"/>
              <w:right w:val="nil"/>
            </w:tcBorders>
            <w:shd w:val="clear" w:color="auto" w:fill="FFFFFF"/>
            <w:vAlign w:val="center"/>
          </w:tcPr>
          <w:p>
            <w:pPr>
              <w:widowControl/>
              <w:spacing w:line="400" w:lineRule="exact"/>
              <w:jc w:val="center"/>
              <w:rPr>
                <w:color w:val="FF0000"/>
                <w:kern w:val="0"/>
                <w:szCs w:val="21"/>
              </w:rPr>
            </w:pPr>
          </w:p>
        </w:tc>
        <w:tc>
          <w:tcPr>
            <w:tcW w:w="3839" w:type="dxa"/>
            <w:vMerge w:val="continue"/>
            <w:tcBorders>
              <w:left w:val="single" w:color="auto" w:sz="4" w:space="0"/>
              <w:right w:val="single" w:color="auto" w:sz="4" w:space="0"/>
            </w:tcBorders>
            <w:shd w:val="clear" w:color="auto" w:fill="FFFFFF"/>
          </w:tcPr>
          <w:p>
            <w:pPr>
              <w:widowControl/>
              <w:spacing w:line="400" w:lineRule="exact"/>
              <w:rPr>
                <w:color w:val="FF0000"/>
                <w:kern w:val="0"/>
                <w:szCs w:val="21"/>
              </w:rPr>
            </w:pPr>
          </w:p>
        </w:tc>
      </w:tr>
      <w:tr>
        <w:tblPrEx>
          <w:tblCellMar>
            <w:top w:w="0" w:type="dxa"/>
            <w:left w:w="108" w:type="dxa"/>
            <w:bottom w:w="0" w:type="dxa"/>
            <w:right w:w="108" w:type="dxa"/>
          </w:tblCellMar>
        </w:tblPrEx>
        <w:trPr>
          <w:trHeight w:val="875" w:hRule="atLeast"/>
        </w:trPr>
        <w:tc>
          <w:tcPr>
            <w:tcW w:w="3610" w:type="dxa"/>
            <w:tcBorders>
              <w:top w:val="single" w:color="auto" w:sz="6" w:space="0"/>
              <w:left w:val="single" w:color="auto" w:sz="4" w:space="0"/>
              <w:bottom w:val="single" w:color="auto" w:sz="6" w:space="0"/>
              <w:right w:val="nil"/>
            </w:tcBorders>
            <w:shd w:val="clear" w:color="auto" w:fill="FFFFFF"/>
            <w:vAlign w:val="center"/>
          </w:tcPr>
          <w:p>
            <w:pPr>
              <w:jc w:val="left"/>
              <w:rPr>
                <w:rFonts w:cs="宋体"/>
                <w:kern w:val="0"/>
                <w:szCs w:val="21"/>
              </w:rPr>
            </w:pPr>
            <w:r>
              <w:rPr>
                <w:rFonts w:cs="宋体"/>
                <w:kern w:val="0"/>
                <w:szCs w:val="21"/>
              </w:rPr>
              <w:t>0</w:t>
            </w:r>
            <w:r>
              <w:rPr>
                <w:rFonts w:hint="eastAsia" w:cs="宋体"/>
                <w:kern w:val="0"/>
                <w:szCs w:val="21"/>
              </w:rPr>
              <w:t>6海洋药物化学</w:t>
            </w:r>
          </w:p>
        </w:tc>
        <w:tc>
          <w:tcPr>
            <w:tcW w:w="1320" w:type="dxa"/>
            <w:tcBorders>
              <w:top w:val="single" w:color="auto" w:sz="6" w:space="0"/>
              <w:left w:val="single" w:color="auto" w:sz="4" w:space="0"/>
              <w:bottom w:val="single" w:color="auto" w:sz="6" w:space="0"/>
              <w:right w:val="nil"/>
            </w:tcBorders>
            <w:shd w:val="clear" w:color="auto" w:fill="FFFFFF"/>
            <w:vAlign w:val="center"/>
          </w:tcPr>
          <w:p>
            <w:pPr>
              <w:spacing w:line="240" w:lineRule="auto"/>
              <w:jc w:val="center"/>
              <w:rPr>
                <w:rFonts w:cs="宋体"/>
                <w:kern w:val="0"/>
                <w:szCs w:val="21"/>
              </w:rPr>
            </w:pPr>
            <w:r>
              <w:rPr>
                <w:rFonts w:hint="eastAsia" w:cs="宋体"/>
                <w:kern w:val="0"/>
                <w:szCs w:val="21"/>
              </w:rPr>
              <w:t>唐  宇</w:t>
            </w:r>
          </w:p>
        </w:tc>
        <w:tc>
          <w:tcPr>
            <w:tcW w:w="1360" w:type="dxa"/>
            <w:vMerge w:val="continue"/>
            <w:tcBorders>
              <w:left w:val="single" w:color="auto" w:sz="4" w:space="0"/>
              <w:right w:val="nil"/>
            </w:tcBorders>
            <w:shd w:val="clear" w:color="auto" w:fill="FFFFFF"/>
            <w:vAlign w:val="center"/>
          </w:tcPr>
          <w:p>
            <w:pPr>
              <w:widowControl/>
              <w:spacing w:line="400" w:lineRule="exact"/>
              <w:jc w:val="center"/>
              <w:rPr>
                <w:color w:val="FF0000"/>
                <w:kern w:val="0"/>
                <w:szCs w:val="21"/>
              </w:rPr>
            </w:pPr>
          </w:p>
        </w:tc>
        <w:tc>
          <w:tcPr>
            <w:tcW w:w="3839" w:type="dxa"/>
            <w:vMerge w:val="continue"/>
            <w:tcBorders>
              <w:left w:val="single" w:color="auto" w:sz="4" w:space="0"/>
              <w:right w:val="single" w:color="auto" w:sz="4" w:space="0"/>
            </w:tcBorders>
            <w:shd w:val="clear" w:color="auto" w:fill="FFFFFF"/>
          </w:tcPr>
          <w:p>
            <w:pPr>
              <w:widowControl/>
              <w:spacing w:line="400" w:lineRule="exact"/>
              <w:rPr>
                <w:color w:val="FF0000"/>
                <w:kern w:val="0"/>
                <w:szCs w:val="21"/>
              </w:rPr>
            </w:pPr>
          </w:p>
        </w:tc>
      </w:tr>
      <w:tr>
        <w:tblPrEx>
          <w:tblCellMar>
            <w:top w:w="0" w:type="dxa"/>
            <w:left w:w="108" w:type="dxa"/>
            <w:bottom w:w="0" w:type="dxa"/>
            <w:right w:w="108" w:type="dxa"/>
          </w:tblCellMar>
        </w:tblPrEx>
        <w:trPr>
          <w:trHeight w:val="875" w:hRule="atLeast"/>
        </w:trPr>
        <w:tc>
          <w:tcPr>
            <w:tcW w:w="3610" w:type="dxa"/>
            <w:tcBorders>
              <w:top w:val="single" w:color="auto" w:sz="6" w:space="0"/>
              <w:left w:val="single" w:color="auto" w:sz="4" w:space="0"/>
              <w:bottom w:val="single" w:color="auto" w:sz="6" w:space="0"/>
              <w:right w:val="nil"/>
            </w:tcBorders>
            <w:shd w:val="clear" w:color="auto" w:fill="FFFFFF"/>
            <w:vAlign w:val="center"/>
          </w:tcPr>
          <w:p>
            <w:pPr>
              <w:jc w:val="left"/>
              <w:rPr>
                <w:rFonts w:cs="宋体"/>
                <w:kern w:val="0"/>
                <w:szCs w:val="21"/>
              </w:rPr>
            </w:pPr>
            <w:r>
              <w:rPr>
                <w:rFonts w:hint="eastAsia" w:cs="宋体"/>
                <w:kern w:val="0"/>
                <w:szCs w:val="21"/>
              </w:rPr>
              <w:t>07针对重大疾病的创新药物研究</w:t>
            </w:r>
          </w:p>
        </w:tc>
        <w:tc>
          <w:tcPr>
            <w:tcW w:w="1320" w:type="dxa"/>
            <w:tcBorders>
              <w:top w:val="single" w:color="auto" w:sz="6" w:space="0"/>
              <w:left w:val="single" w:color="auto" w:sz="4" w:space="0"/>
              <w:bottom w:val="single" w:color="auto" w:sz="6" w:space="0"/>
              <w:right w:val="nil"/>
            </w:tcBorders>
            <w:shd w:val="clear" w:color="auto" w:fill="FFFFFF"/>
            <w:vAlign w:val="center"/>
          </w:tcPr>
          <w:p>
            <w:pPr>
              <w:spacing w:line="240" w:lineRule="auto"/>
              <w:jc w:val="center"/>
              <w:rPr>
                <w:rFonts w:cs="宋体"/>
                <w:kern w:val="0"/>
                <w:szCs w:val="21"/>
              </w:rPr>
            </w:pPr>
            <w:r>
              <w:rPr>
                <w:rFonts w:hint="eastAsia" w:cs="宋体"/>
                <w:kern w:val="0"/>
                <w:szCs w:val="21"/>
              </w:rPr>
              <w:t>江  涛</w:t>
            </w:r>
          </w:p>
          <w:p>
            <w:pPr>
              <w:spacing w:line="240" w:lineRule="auto"/>
              <w:jc w:val="center"/>
              <w:rPr>
                <w:rFonts w:cs="宋体"/>
                <w:kern w:val="0"/>
                <w:szCs w:val="21"/>
              </w:rPr>
            </w:pPr>
            <w:r>
              <w:rPr>
                <w:rFonts w:hint="eastAsia" w:cs="宋体"/>
                <w:kern w:val="0"/>
                <w:szCs w:val="21"/>
              </w:rPr>
              <w:t>秦  冲</w:t>
            </w:r>
          </w:p>
        </w:tc>
        <w:tc>
          <w:tcPr>
            <w:tcW w:w="1360" w:type="dxa"/>
            <w:vMerge w:val="continue"/>
            <w:tcBorders>
              <w:left w:val="single" w:color="auto" w:sz="4" w:space="0"/>
              <w:right w:val="nil"/>
            </w:tcBorders>
            <w:shd w:val="clear" w:color="auto" w:fill="FFFFFF"/>
            <w:vAlign w:val="center"/>
          </w:tcPr>
          <w:p>
            <w:pPr>
              <w:widowControl/>
              <w:spacing w:line="400" w:lineRule="exact"/>
              <w:jc w:val="center"/>
              <w:rPr>
                <w:color w:val="FF0000"/>
                <w:kern w:val="0"/>
                <w:szCs w:val="21"/>
              </w:rPr>
            </w:pPr>
          </w:p>
        </w:tc>
        <w:tc>
          <w:tcPr>
            <w:tcW w:w="3839" w:type="dxa"/>
            <w:vMerge w:val="continue"/>
            <w:tcBorders>
              <w:left w:val="single" w:color="auto" w:sz="4" w:space="0"/>
              <w:right w:val="single" w:color="auto" w:sz="4" w:space="0"/>
            </w:tcBorders>
            <w:shd w:val="clear" w:color="auto" w:fill="FFFFFF"/>
          </w:tcPr>
          <w:p>
            <w:pPr>
              <w:widowControl/>
              <w:spacing w:line="400" w:lineRule="exact"/>
              <w:rPr>
                <w:color w:val="FF0000"/>
                <w:kern w:val="0"/>
                <w:szCs w:val="21"/>
              </w:rPr>
            </w:pPr>
          </w:p>
        </w:tc>
      </w:tr>
      <w:tr>
        <w:tblPrEx>
          <w:tblCellMar>
            <w:top w:w="0" w:type="dxa"/>
            <w:left w:w="108" w:type="dxa"/>
            <w:bottom w:w="0" w:type="dxa"/>
            <w:right w:w="108" w:type="dxa"/>
          </w:tblCellMar>
        </w:tblPrEx>
        <w:trPr>
          <w:trHeight w:val="90" w:hRule="atLeast"/>
        </w:trPr>
        <w:tc>
          <w:tcPr>
            <w:tcW w:w="3610" w:type="dxa"/>
            <w:tcBorders>
              <w:top w:val="single" w:color="auto" w:sz="6" w:space="0"/>
              <w:left w:val="single" w:color="auto" w:sz="4" w:space="0"/>
              <w:bottom w:val="single" w:color="auto" w:sz="6" w:space="0"/>
              <w:right w:val="nil"/>
            </w:tcBorders>
            <w:shd w:val="clear" w:color="auto" w:fill="FFFFFF"/>
            <w:vAlign w:val="center"/>
          </w:tcPr>
          <w:p>
            <w:pPr>
              <w:jc w:val="left"/>
              <w:rPr>
                <w:rFonts w:cs="宋体"/>
                <w:kern w:val="0"/>
                <w:szCs w:val="21"/>
              </w:rPr>
            </w:pPr>
            <w:r>
              <w:rPr>
                <w:rFonts w:hint="eastAsia" w:cs="宋体"/>
                <w:kern w:val="0"/>
                <w:szCs w:val="21"/>
              </w:rPr>
              <w:t>08药物有机金属化学与化学生物学</w:t>
            </w:r>
          </w:p>
        </w:tc>
        <w:tc>
          <w:tcPr>
            <w:tcW w:w="1320" w:type="dxa"/>
            <w:tcBorders>
              <w:top w:val="single" w:color="auto" w:sz="6" w:space="0"/>
              <w:left w:val="single" w:color="auto" w:sz="4" w:space="0"/>
              <w:bottom w:val="single" w:color="auto" w:sz="6" w:space="0"/>
              <w:right w:val="nil"/>
            </w:tcBorders>
            <w:shd w:val="clear" w:color="auto" w:fill="FFFFFF"/>
            <w:vAlign w:val="center"/>
          </w:tcPr>
          <w:p>
            <w:pPr>
              <w:spacing w:line="240" w:lineRule="auto"/>
              <w:jc w:val="center"/>
              <w:rPr>
                <w:rFonts w:cs="宋体"/>
                <w:kern w:val="0"/>
                <w:szCs w:val="21"/>
              </w:rPr>
            </w:pPr>
            <w:r>
              <w:rPr>
                <w:rFonts w:hint="eastAsia" w:cs="宋体"/>
                <w:kern w:val="0"/>
                <w:szCs w:val="21"/>
              </w:rPr>
              <w:t>王  勇</w:t>
            </w:r>
          </w:p>
        </w:tc>
        <w:tc>
          <w:tcPr>
            <w:tcW w:w="1360" w:type="dxa"/>
            <w:vMerge w:val="continue"/>
            <w:tcBorders>
              <w:left w:val="single" w:color="auto" w:sz="4" w:space="0"/>
              <w:right w:val="nil"/>
            </w:tcBorders>
            <w:shd w:val="clear" w:color="auto" w:fill="FFFFFF"/>
            <w:vAlign w:val="center"/>
          </w:tcPr>
          <w:p>
            <w:pPr>
              <w:widowControl/>
              <w:spacing w:line="400" w:lineRule="exact"/>
              <w:jc w:val="center"/>
              <w:rPr>
                <w:color w:val="FF0000"/>
                <w:kern w:val="0"/>
                <w:szCs w:val="21"/>
              </w:rPr>
            </w:pPr>
          </w:p>
        </w:tc>
        <w:tc>
          <w:tcPr>
            <w:tcW w:w="3839" w:type="dxa"/>
            <w:vMerge w:val="continue"/>
            <w:tcBorders>
              <w:left w:val="single" w:color="auto" w:sz="4" w:space="0"/>
              <w:right w:val="single" w:color="auto" w:sz="4" w:space="0"/>
            </w:tcBorders>
            <w:shd w:val="clear" w:color="auto" w:fill="FFFFFF"/>
          </w:tcPr>
          <w:p>
            <w:pPr>
              <w:widowControl/>
              <w:spacing w:line="400" w:lineRule="exact"/>
              <w:rPr>
                <w:color w:val="FF0000"/>
                <w:kern w:val="0"/>
                <w:szCs w:val="21"/>
              </w:rPr>
            </w:pPr>
          </w:p>
        </w:tc>
      </w:tr>
      <w:tr>
        <w:tblPrEx>
          <w:tblCellMar>
            <w:top w:w="0" w:type="dxa"/>
            <w:left w:w="108" w:type="dxa"/>
            <w:bottom w:w="0" w:type="dxa"/>
            <w:right w:w="108" w:type="dxa"/>
          </w:tblCellMar>
        </w:tblPrEx>
        <w:trPr>
          <w:trHeight w:val="875" w:hRule="atLeast"/>
        </w:trPr>
        <w:tc>
          <w:tcPr>
            <w:tcW w:w="3610" w:type="dxa"/>
            <w:tcBorders>
              <w:top w:val="single" w:color="auto" w:sz="6" w:space="0"/>
              <w:left w:val="single" w:color="auto" w:sz="4" w:space="0"/>
              <w:bottom w:val="single" w:color="auto" w:sz="6" w:space="0"/>
              <w:right w:val="nil"/>
            </w:tcBorders>
            <w:shd w:val="clear" w:color="auto" w:fill="FFFFFF"/>
            <w:vAlign w:val="center"/>
          </w:tcPr>
          <w:p>
            <w:pPr>
              <w:jc w:val="left"/>
              <w:rPr>
                <w:rFonts w:cs="宋体"/>
                <w:kern w:val="0"/>
                <w:szCs w:val="21"/>
              </w:rPr>
            </w:pPr>
            <w:r>
              <w:rPr>
                <w:rFonts w:hint="eastAsia" w:cs="宋体"/>
                <w:kern w:val="0"/>
                <w:szCs w:val="21"/>
              </w:rPr>
              <w:t>09海洋药物先导发现</w:t>
            </w:r>
          </w:p>
          <w:p>
            <w:pPr>
              <w:jc w:val="left"/>
              <w:rPr>
                <w:rFonts w:cs="宋体"/>
                <w:kern w:val="0"/>
                <w:szCs w:val="21"/>
              </w:rPr>
            </w:pPr>
            <w:r>
              <w:rPr>
                <w:rFonts w:hint="eastAsia" w:cs="宋体"/>
                <w:kern w:val="0"/>
                <w:szCs w:val="21"/>
              </w:rPr>
              <w:t>10 海洋药物成药性研究</w:t>
            </w:r>
          </w:p>
        </w:tc>
        <w:tc>
          <w:tcPr>
            <w:tcW w:w="1320" w:type="dxa"/>
            <w:tcBorders>
              <w:top w:val="single" w:color="auto" w:sz="6" w:space="0"/>
              <w:left w:val="single" w:color="auto" w:sz="4" w:space="0"/>
              <w:bottom w:val="single" w:color="auto" w:sz="6" w:space="0"/>
              <w:right w:val="nil"/>
            </w:tcBorders>
            <w:shd w:val="clear" w:color="auto" w:fill="FFFFFF"/>
            <w:vAlign w:val="center"/>
          </w:tcPr>
          <w:p>
            <w:pPr>
              <w:spacing w:line="240" w:lineRule="auto"/>
              <w:jc w:val="center"/>
              <w:rPr>
                <w:rFonts w:cs="宋体"/>
                <w:kern w:val="0"/>
                <w:szCs w:val="21"/>
              </w:rPr>
            </w:pPr>
            <w:r>
              <w:rPr>
                <w:rFonts w:hint="eastAsia" w:cs="宋体"/>
                <w:kern w:val="0"/>
                <w:szCs w:val="21"/>
              </w:rPr>
              <w:t>邵长伦</w:t>
            </w:r>
          </w:p>
        </w:tc>
        <w:tc>
          <w:tcPr>
            <w:tcW w:w="1360" w:type="dxa"/>
            <w:vMerge w:val="continue"/>
            <w:tcBorders>
              <w:left w:val="single" w:color="auto" w:sz="4" w:space="0"/>
              <w:bottom w:val="single" w:color="auto" w:sz="6" w:space="0"/>
              <w:right w:val="nil"/>
            </w:tcBorders>
            <w:shd w:val="clear" w:color="auto" w:fill="FFFFFF"/>
            <w:vAlign w:val="center"/>
          </w:tcPr>
          <w:p>
            <w:pPr>
              <w:widowControl/>
              <w:spacing w:line="400" w:lineRule="exact"/>
              <w:jc w:val="center"/>
              <w:rPr>
                <w:color w:val="FF0000"/>
                <w:kern w:val="0"/>
                <w:szCs w:val="21"/>
              </w:rPr>
            </w:pPr>
          </w:p>
        </w:tc>
        <w:tc>
          <w:tcPr>
            <w:tcW w:w="3839" w:type="dxa"/>
            <w:vMerge w:val="continue"/>
            <w:tcBorders>
              <w:left w:val="single" w:color="auto" w:sz="4" w:space="0"/>
              <w:bottom w:val="single" w:color="auto" w:sz="6" w:space="0"/>
              <w:right w:val="single" w:color="auto" w:sz="4" w:space="0"/>
            </w:tcBorders>
            <w:shd w:val="clear" w:color="auto" w:fill="FFFFFF"/>
          </w:tcPr>
          <w:p>
            <w:pPr>
              <w:widowControl/>
              <w:spacing w:line="400" w:lineRule="exact"/>
              <w:rPr>
                <w:color w:val="FF0000"/>
                <w:kern w:val="0"/>
                <w:szCs w:val="21"/>
              </w:rPr>
            </w:pPr>
          </w:p>
        </w:tc>
      </w:tr>
      <w:tr>
        <w:tblPrEx>
          <w:tblCellMar>
            <w:top w:w="0" w:type="dxa"/>
            <w:left w:w="108" w:type="dxa"/>
            <w:bottom w:w="0" w:type="dxa"/>
            <w:right w:w="108" w:type="dxa"/>
          </w:tblCellMar>
        </w:tblPrEx>
        <w:trPr>
          <w:trHeight w:val="613" w:hRule="atLeast"/>
        </w:trPr>
        <w:tc>
          <w:tcPr>
            <w:tcW w:w="10129" w:type="dxa"/>
            <w:gridSpan w:val="4"/>
            <w:tcBorders>
              <w:top w:val="single" w:color="auto" w:sz="6" w:space="0"/>
              <w:left w:val="single" w:color="auto" w:sz="4" w:space="0"/>
              <w:bottom w:val="single" w:color="auto" w:sz="6" w:space="0"/>
              <w:right w:val="single" w:color="auto" w:sz="4" w:space="0"/>
            </w:tcBorders>
            <w:shd w:val="clear" w:color="auto" w:fill="FFFFFF"/>
          </w:tcPr>
          <w:p>
            <w:pPr>
              <w:widowControl/>
              <w:spacing w:line="400" w:lineRule="exact"/>
            </w:pPr>
            <w:r>
              <w:rPr>
                <w:rFonts w:hint="eastAsia" w:eastAsia="黑体"/>
                <w:b/>
                <w:bCs/>
                <w:kern w:val="0"/>
                <w:szCs w:val="21"/>
              </w:rPr>
              <w:t>1007</w:t>
            </w:r>
            <w:r>
              <w:rPr>
                <w:rFonts w:hint="eastAsia" w:cs="宋体"/>
                <w:b/>
                <w:bCs/>
                <w:kern w:val="0"/>
                <w:szCs w:val="21"/>
              </w:rPr>
              <w:t>02药剂学</w:t>
            </w:r>
          </w:p>
        </w:tc>
      </w:tr>
      <w:tr>
        <w:tblPrEx>
          <w:tblCellMar>
            <w:top w:w="0" w:type="dxa"/>
            <w:left w:w="108" w:type="dxa"/>
            <w:bottom w:w="0" w:type="dxa"/>
            <w:right w:w="108" w:type="dxa"/>
          </w:tblCellMar>
        </w:tblPrEx>
        <w:trPr>
          <w:trHeight w:val="810" w:hRule="atLeast"/>
        </w:trPr>
        <w:tc>
          <w:tcPr>
            <w:tcW w:w="3610" w:type="dxa"/>
            <w:tcBorders>
              <w:top w:val="single" w:color="auto" w:sz="6" w:space="0"/>
              <w:left w:val="single" w:color="auto" w:sz="4" w:space="0"/>
              <w:bottom w:val="single" w:color="auto" w:sz="6" w:space="0"/>
              <w:right w:val="nil"/>
            </w:tcBorders>
            <w:shd w:val="clear" w:color="auto" w:fill="FFFFFF"/>
            <w:vAlign w:val="center"/>
          </w:tcPr>
          <w:p>
            <w:pPr>
              <w:rPr>
                <w:rFonts w:cs="宋体"/>
                <w:kern w:val="0"/>
                <w:szCs w:val="21"/>
              </w:rPr>
            </w:pPr>
            <w:r>
              <w:rPr>
                <w:rFonts w:hint="eastAsia" w:cs="宋体"/>
                <w:kern w:val="0"/>
                <w:szCs w:val="21"/>
              </w:rPr>
              <w:t>01 海洋多糖载体纳米药物递送系统；</w:t>
            </w:r>
          </w:p>
          <w:p>
            <w:pPr>
              <w:rPr>
                <w:kern w:val="0"/>
                <w:szCs w:val="21"/>
              </w:rPr>
            </w:pPr>
            <w:r>
              <w:rPr>
                <w:rFonts w:hint="eastAsia" w:cs="宋体"/>
                <w:kern w:val="0"/>
                <w:szCs w:val="21"/>
              </w:rPr>
              <w:t>02 海洋多糖生物材料</w:t>
            </w:r>
          </w:p>
        </w:tc>
        <w:tc>
          <w:tcPr>
            <w:tcW w:w="1320" w:type="dxa"/>
            <w:tcBorders>
              <w:top w:val="single" w:color="auto" w:sz="6" w:space="0"/>
              <w:left w:val="single" w:color="auto" w:sz="4" w:space="0"/>
              <w:bottom w:val="single" w:color="auto" w:sz="6" w:space="0"/>
              <w:right w:val="nil"/>
            </w:tcBorders>
            <w:shd w:val="clear" w:color="auto" w:fill="FFFFFF"/>
            <w:vAlign w:val="center"/>
          </w:tcPr>
          <w:p>
            <w:pPr>
              <w:jc w:val="center"/>
              <w:rPr>
                <w:kern w:val="0"/>
                <w:szCs w:val="21"/>
              </w:rPr>
            </w:pPr>
            <w:r>
              <w:rPr>
                <w:rFonts w:hint="eastAsia" w:cs="宋体"/>
                <w:kern w:val="0"/>
                <w:szCs w:val="21"/>
              </w:rPr>
              <w:t>赵 峡</w:t>
            </w:r>
          </w:p>
        </w:tc>
        <w:tc>
          <w:tcPr>
            <w:tcW w:w="1360" w:type="dxa"/>
            <w:vMerge w:val="restart"/>
            <w:tcBorders>
              <w:top w:val="single" w:color="auto" w:sz="6" w:space="0"/>
              <w:left w:val="single" w:color="auto" w:sz="4" w:space="0"/>
              <w:right w:val="nil"/>
            </w:tcBorders>
            <w:shd w:val="clear" w:color="auto" w:fill="FFFFFF"/>
            <w:vAlign w:val="center"/>
          </w:tcPr>
          <w:p>
            <w:pPr>
              <w:widowControl/>
              <w:spacing w:line="400" w:lineRule="exact"/>
              <w:jc w:val="center"/>
              <w:rPr>
                <w:rFonts w:hint="eastAsia" w:eastAsia="宋体"/>
                <w:kern w:val="0"/>
                <w:szCs w:val="21"/>
                <w:lang w:val="en-US" w:eastAsia="zh-CN"/>
              </w:rPr>
            </w:pPr>
            <w:r>
              <w:rPr>
                <w:rFonts w:hint="eastAsia"/>
                <w:kern w:val="0"/>
                <w:szCs w:val="21"/>
                <w:lang w:val="en-US" w:eastAsia="zh-CN"/>
              </w:rPr>
              <w:t>3</w:t>
            </w:r>
          </w:p>
        </w:tc>
        <w:tc>
          <w:tcPr>
            <w:tcW w:w="3839" w:type="dxa"/>
            <w:vMerge w:val="restart"/>
            <w:tcBorders>
              <w:top w:val="single" w:color="auto" w:sz="6" w:space="0"/>
              <w:left w:val="single" w:color="auto" w:sz="4" w:space="0"/>
              <w:right w:val="single" w:color="auto" w:sz="4" w:space="0"/>
            </w:tcBorders>
            <w:shd w:val="clear" w:color="auto" w:fill="FFFFFF"/>
          </w:tcPr>
          <w:p>
            <w:pPr>
              <w:widowControl/>
              <w:spacing w:line="400" w:lineRule="exact"/>
              <w:jc w:val="center"/>
              <w:rPr>
                <w:rFonts w:hint="eastAsia"/>
                <w:kern w:val="0"/>
                <w:szCs w:val="21"/>
                <w:lang w:val="en-US" w:eastAsia="zh-CN"/>
              </w:rPr>
            </w:pPr>
          </w:p>
          <w:p>
            <w:pPr>
              <w:widowControl/>
              <w:spacing w:line="400" w:lineRule="exact"/>
              <w:jc w:val="center"/>
              <w:rPr>
                <w:rFonts w:hint="eastAsia"/>
                <w:kern w:val="0"/>
                <w:szCs w:val="21"/>
                <w:lang w:val="en-US" w:eastAsia="zh-CN"/>
              </w:rPr>
            </w:pPr>
          </w:p>
          <w:p>
            <w:pPr>
              <w:widowControl/>
              <w:spacing w:line="400" w:lineRule="exact"/>
              <w:jc w:val="center"/>
              <w:rPr>
                <w:rFonts w:hint="eastAsia"/>
                <w:kern w:val="0"/>
                <w:szCs w:val="21"/>
                <w:lang w:val="en-US" w:eastAsia="zh-CN"/>
              </w:rPr>
            </w:pPr>
          </w:p>
          <w:p>
            <w:pPr>
              <w:widowControl/>
              <w:spacing w:line="400" w:lineRule="exact"/>
              <w:jc w:val="center"/>
              <w:rPr>
                <w:rFonts w:hint="eastAsia"/>
                <w:kern w:val="0"/>
                <w:szCs w:val="21"/>
                <w:lang w:val="en-US" w:eastAsia="zh-CN"/>
              </w:rPr>
            </w:pPr>
            <w:r>
              <w:rPr>
                <w:rFonts w:hint="eastAsia"/>
                <w:kern w:val="0"/>
                <w:szCs w:val="21"/>
                <w:lang w:val="en-US" w:eastAsia="zh-CN"/>
              </w:rPr>
              <w:t>2231药剂学或2263晶型药物</w:t>
            </w:r>
          </w:p>
        </w:tc>
      </w:tr>
      <w:tr>
        <w:tblPrEx>
          <w:tblCellMar>
            <w:top w:w="0" w:type="dxa"/>
            <w:left w:w="108" w:type="dxa"/>
            <w:bottom w:w="0" w:type="dxa"/>
            <w:right w:w="108" w:type="dxa"/>
          </w:tblCellMar>
        </w:tblPrEx>
        <w:trPr>
          <w:trHeight w:val="1015" w:hRule="atLeast"/>
        </w:trPr>
        <w:tc>
          <w:tcPr>
            <w:tcW w:w="3610" w:type="dxa"/>
            <w:tcBorders>
              <w:top w:val="single" w:color="auto" w:sz="6" w:space="0"/>
              <w:left w:val="single" w:color="auto" w:sz="4" w:space="0"/>
              <w:bottom w:val="single" w:color="auto" w:sz="6" w:space="0"/>
              <w:right w:val="nil"/>
            </w:tcBorders>
            <w:shd w:val="clear" w:color="auto" w:fill="FFFFFF"/>
            <w:vAlign w:val="center"/>
          </w:tcPr>
          <w:p>
            <w:pPr>
              <w:rPr>
                <w:rFonts w:cs="宋体"/>
                <w:kern w:val="0"/>
                <w:szCs w:val="21"/>
              </w:rPr>
            </w:pPr>
            <w:r>
              <w:rPr>
                <w:rFonts w:hint="eastAsia" w:cs="宋体"/>
                <w:kern w:val="0"/>
                <w:szCs w:val="21"/>
              </w:rPr>
              <w:t>03药物共结晶策略</w:t>
            </w:r>
            <w:r>
              <w:rPr>
                <w:rFonts w:cs="宋体"/>
                <w:kern w:val="0"/>
                <w:szCs w:val="21"/>
              </w:rPr>
              <w:t>与技术</w:t>
            </w:r>
          </w:p>
          <w:p>
            <w:pPr>
              <w:rPr>
                <w:color w:val="FF0000"/>
                <w:kern w:val="0"/>
                <w:szCs w:val="21"/>
              </w:rPr>
            </w:pPr>
            <w:r>
              <w:rPr>
                <w:rFonts w:hint="eastAsia" w:cs="宋体"/>
                <w:kern w:val="0"/>
                <w:szCs w:val="21"/>
              </w:rPr>
              <w:t>04 药物</w:t>
            </w:r>
            <w:r>
              <w:rPr>
                <w:rFonts w:cs="宋体"/>
                <w:kern w:val="0"/>
                <w:szCs w:val="21"/>
              </w:rPr>
              <w:t>晶体工程</w:t>
            </w:r>
          </w:p>
        </w:tc>
        <w:tc>
          <w:tcPr>
            <w:tcW w:w="1320" w:type="dxa"/>
            <w:tcBorders>
              <w:top w:val="single" w:color="auto" w:sz="6" w:space="0"/>
              <w:left w:val="single" w:color="auto" w:sz="4" w:space="0"/>
              <w:bottom w:val="single" w:color="auto" w:sz="6" w:space="0"/>
              <w:right w:val="nil"/>
            </w:tcBorders>
            <w:shd w:val="clear" w:color="auto" w:fill="FFFFFF"/>
            <w:vAlign w:val="center"/>
          </w:tcPr>
          <w:p>
            <w:pPr>
              <w:jc w:val="center"/>
              <w:rPr>
                <w:color w:val="FF0000"/>
                <w:kern w:val="0"/>
                <w:szCs w:val="21"/>
              </w:rPr>
            </w:pPr>
            <w:r>
              <w:rPr>
                <w:rFonts w:hint="eastAsia" w:cs="宋体"/>
                <w:kern w:val="0"/>
                <w:szCs w:val="21"/>
              </w:rPr>
              <w:t>李延团</w:t>
            </w:r>
          </w:p>
        </w:tc>
        <w:tc>
          <w:tcPr>
            <w:tcW w:w="1360" w:type="dxa"/>
            <w:vMerge w:val="continue"/>
            <w:tcBorders>
              <w:left w:val="single" w:color="auto" w:sz="4" w:space="0"/>
              <w:right w:val="nil"/>
            </w:tcBorders>
            <w:shd w:val="clear" w:color="auto" w:fill="FFFFFF"/>
            <w:vAlign w:val="center"/>
          </w:tcPr>
          <w:p>
            <w:pPr>
              <w:widowControl/>
              <w:spacing w:line="400" w:lineRule="exact"/>
              <w:jc w:val="center"/>
              <w:rPr>
                <w:color w:val="FF0000"/>
                <w:kern w:val="0"/>
                <w:szCs w:val="21"/>
              </w:rPr>
            </w:pPr>
          </w:p>
        </w:tc>
        <w:tc>
          <w:tcPr>
            <w:tcW w:w="3839" w:type="dxa"/>
            <w:vMerge w:val="continue"/>
            <w:tcBorders>
              <w:left w:val="single" w:color="auto" w:sz="4" w:space="0"/>
              <w:right w:val="single" w:color="auto" w:sz="4" w:space="0"/>
            </w:tcBorders>
            <w:shd w:val="clear" w:color="auto" w:fill="FFFFFF"/>
            <w:vAlign w:val="center"/>
          </w:tcPr>
          <w:p>
            <w:pPr>
              <w:widowControl/>
              <w:spacing w:line="400" w:lineRule="exact"/>
            </w:pPr>
          </w:p>
        </w:tc>
      </w:tr>
      <w:tr>
        <w:tblPrEx>
          <w:tblCellMar>
            <w:top w:w="0" w:type="dxa"/>
            <w:left w:w="108" w:type="dxa"/>
            <w:bottom w:w="0" w:type="dxa"/>
            <w:right w:w="108" w:type="dxa"/>
          </w:tblCellMar>
        </w:tblPrEx>
        <w:trPr>
          <w:trHeight w:val="1015" w:hRule="atLeast"/>
        </w:trPr>
        <w:tc>
          <w:tcPr>
            <w:tcW w:w="3610" w:type="dxa"/>
            <w:tcBorders>
              <w:top w:val="single" w:color="auto" w:sz="6" w:space="0"/>
              <w:left w:val="single" w:color="auto" w:sz="4" w:space="0"/>
              <w:bottom w:val="single" w:color="auto" w:sz="6" w:space="0"/>
              <w:right w:val="nil"/>
            </w:tcBorders>
            <w:shd w:val="clear" w:color="auto" w:fill="FFFFFF"/>
            <w:vAlign w:val="center"/>
          </w:tcPr>
          <w:p>
            <w:pPr>
              <w:widowControl/>
              <w:spacing w:line="400" w:lineRule="exact"/>
              <w:rPr>
                <w:kern w:val="0"/>
                <w:szCs w:val="21"/>
              </w:rPr>
            </w:pPr>
            <w:r>
              <w:rPr>
                <w:rFonts w:hint="eastAsia"/>
                <w:kern w:val="0"/>
                <w:szCs w:val="21"/>
              </w:rPr>
              <w:t>05智能药物释放系统的研究</w:t>
            </w:r>
          </w:p>
          <w:p>
            <w:pPr>
              <w:widowControl/>
              <w:spacing w:line="400" w:lineRule="exact"/>
              <w:rPr>
                <w:kern w:val="0"/>
                <w:szCs w:val="21"/>
              </w:rPr>
            </w:pPr>
            <w:r>
              <w:rPr>
                <w:rFonts w:hint="eastAsia"/>
                <w:kern w:val="0"/>
                <w:szCs w:val="21"/>
              </w:rPr>
              <w:t>06海洋生物医用材料</w:t>
            </w:r>
          </w:p>
        </w:tc>
        <w:tc>
          <w:tcPr>
            <w:tcW w:w="1320" w:type="dxa"/>
            <w:tcBorders>
              <w:top w:val="single" w:color="auto" w:sz="6" w:space="0"/>
              <w:left w:val="single" w:color="auto" w:sz="4" w:space="0"/>
              <w:bottom w:val="single" w:color="auto" w:sz="6" w:space="0"/>
              <w:right w:val="nil"/>
            </w:tcBorders>
            <w:shd w:val="clear" w:color="auto" w:fill="FFFFFF"/>
            <w:vAlign w:val="center"/>
          </w:tcPr>
          <w:p>
            <w:pPr>
              <w:widowControl/>
              <w:spacing w:line="400" w:lineRule="exact"/>
              <w:ind w:firstLine="210" w:firstLineChars="100"/>
              <w:rPr>
                <w:kern w:val="0"/>
                <w:szCs w:val="21"/>
              </w:rPr>
            </w:pPr>
            <w:r>
              <w:rPr>
                <w:rFonts w:hint="eastAsia"/>
                <w:kern w:val="0"/>
                <w:szCs w:val="21"/>
              </w:rPr>
              <w:t>韩 璐</w:t>
            </w:r>
          </w:p>
        </w:tc>
        <w:tc>
          <w:tcPr>
            <w:tcW w:w="1360" w:type="dxa"/>
            <w:vMerge w:val="continue"/>
            <w:tcBorders>
              <w:left w:val="single" w:color="auto" w:sz="4" w:space="0"/>
              <w:bottom w:val="single" w:color="auto" w:sz="6" w:space="0"/>
              <w:right w:val="nil"/>
            </w:tcBorders>
            <w:shd w:val="clear" w:color="auto" w:fill="FFFFFF"/>
            <w:vAlign w:val="center"/>
          </w:tcPr>
          <w:p>
            <w:pPr>
              <w:widowControl/>
              <w:spacing w:line="400" w:lineRule="exact"/>
              <w:rPr>
                <w:color w:val="FF0000"/>
                <w:kern w:val="0"/>
                <w:szCs w:val="21"/>
              </w:rPr>
            </w:pPr>
          </w:p>
        </w:tc>
        <w:tc>
          <w:tcPr>
            <w:tcW w:w="3839" w:type="dxa"/>
            <w:vMerge w:val="continue"/>
            <w:tcBorders>
              <w:left w:val="single" w:color="auto" w:sz="4" w:space="0"/>
              <w:bottom w:val="single" w:color="auto" w:sz="6" w:space="0"/>
              <w:right w:val="single" w:color="auto" w:sz="4" w:space="0"/>
            </w:tcBorders>
            <w:shd w:val="clear" w:color="auto" w:fill="FFFFFF"/>
            <w:vAlign w:val="center"/>
          </w:tcPr>
          <w:p>
            <w:pPr>
              <w:widowControl/>
              <w:spacing w:line="400" w:lineRule="exact"/>
              <w:rPr>
                <w:color w:val="FF0000"/>
                <w:kern w:val="0"/>
                <w:szCs w:val="21"/>
              </w:rPr>
            </w:pPr>
          </w:p>
        </w:tc>
      </w:tr>
      <w:tr>
        <w:tblPrEx>
          <w:tblCellMar>
            <w:top w:w="0" w:type="dxa"/>
            <w:left w:w="108" w:type="dxa"/>
            <w:bottom w:w="0" w:type="dxa"/>
            <w:right w:w="108" w:type="dxa"/>
          </w:tblCellMar>
        </w:tblPrEx>
        <w:trPr>
          <w:trHeight w:val="630" w:hRule="atLeast"/>
        </w:trPr>
        <w:tc>
          <w:tcPr>
            <w:tcW w:w="10129" w:type="dxa"/>
            <w:gridSpan w:val="4"/>
            <w:tcBorders>
              <w:top w:val="single" w:color="auto" w:sz="6" w:space="0"/>
              <w:left w:val="single" w:color="auto" w:sz="4" w:space="0"/>
              <w:bottom w:val="single" w:color="auto" w:sz="6" w:space="0"/>
              <w:right w:val="single" w:color="auto" w:sz="4" w:space="0"/>
            </w:tcBorders>
            <w:shd w:val="clear" w:color="auto" w:fill="FFFFFF"/>
            <w:vAlign w:val="center"/>
          </w:tcPr>
          <w:p>
            <w:pPr>
              <w:widowControl/>
              <w:spacing w:line="400" w:lineRule="exact"/>
              <w:rPr>
                <w:color w:val="FF0000"/>
                <w:kern w:val="0"/>
                <w:szCs w:val="21"/>
              </w:rPr>
            </w:pPr>
            <w:r>
              <w:rPr>
                <w:rFonts w:hint="eastAsia"/>
                <w:b/>
                <w:bCs/>
                <w:kern w:val="0"/>
                <w:szCs w:val="21"/>
              </w:rPr>
              <w:t>100703生药学</w:t>
            </w:r>
          </w:p>
        </w:tc>
      </w:tr>
      <w:tr>
        <w:tblPrEx>
          <w:tblCellMar>
            <w:top w:w="0" w:type="dxa"/>
            <w:left w:w="108" w:type="dxa"/>
            <w:bottom w:w="0" w:type="dxa"/>
            <w:right w:w="108" w:type="dxa"/>
          </w:tblCellMar>
        </w:tblPrEx>
        <w:trPr>
          <w:trHeight w:val="775" w:hRule="atLeast"/>
        </w:trPr>
        <w:tc>
          <w:tcPr>
            <w:tcW w:w="3610" w:type="dxa"/>
            <w:tcBorders>
              <w:top w:val="single" w:color="auto" w:sz="6" w:space="0"/>
              <w:left w:val="single" w:color="auto" w:sz="4" w:space="0"/>
              <w:bottom w:val="single" w:color="auto" w:sz="6" w:space="0"/>
              <w:right w:val="nil"/>
            </w:tcBorders>
            <w:shd w:val="clear" w:color="auto" w:fill="FFFFFF"/>
            <w:vAlign w:val="center"/>
          </w:tcPr>
          <w:p>
            <w:pPr>
              <w:rPr>
                <w:rFonts w:cs="宋体"/>
                <w:kern w:val="0"/>
                <w:szCs w:val="21"/>
              </w:rPr>
            </w:pPr>
            <w:r>
              <w:rPr>
                <w:rFonts w:hint="eastAsia"/>
                <w:szCs w:val="21"/>
              </w:rPr>
              <w:t>01海洋天然药物化学</w:t>
            </w:r>
          </w:p>
        </w:tc>
        <w:tc>
          <w:tcPr>
            <w:tcW w:w="1320" w:type="dxa"/>
            <w:tcBorders>
              <w:top w:val="single" w:color="auto" w:sz="6" w:space="0"/>
              <w:left w:val="single" w:color="auto" w:sz="4" w:space="0"/>
              <w:bottom w:val="single" w:color="auto" w:sz="6" w:space="0"/>
              <w:right w:val="nil"/>
            </w:tcBorders>
            <w:shd w:val="clear" w:color="auto" w:fill="FFFFFF"/>
            <w:vAlign w:val="center"/>
          </w:tcPr>
          <w:p>
            <w:pPr>
              <w:ind w:firstLine="105" w:firstLineChars="50"/>
              <w:jc w:val="center"/>
              <w:rPr>
                <w:rFonts w:cs="宋体"/>
                <w:kern w:val="0"/>
                <w:szCs w:val="21"/>
              </w:rPr>
            </w:pPr>
            <w:r>
              <w:rPr>
                <w:rFonts w:hint="eastAsia" w:cs="宋体"/>
                <w:kern w:val="0"/>
                <w:szCs w:val="21"/>
              </w:rPr>
              <w:t>李国强</w:t>
            </w:r>
          </w:p>
          <w:p>
            <w:pPr>
              <w:ind w:firstLine="105" w:firstLineChars="50"/>
              <w:jc w:val="center"/>
              <w:rPr>
                <w:rFonts w:cs="宋体"/>
                <w:kern w:val="0"/>
                <w:szCs w:val="21"/>
              </w:rPr>
            </w:pPr>
            <w:r>
              <w:rPr>
                <w:rFonts w:hint="eastAsia" w:cs="宋体"/>
                <w:kern w:val="0"/>
                <w:szCs w:val="21"/>
              </w:rPr>
              <w:t>李平林</w:t>
            </w:r>
          </w:p>
        </w:tc>
        <w:tc>
          <w:tcPr>
            <w:tcW w:w="1360" w:type="dxa"/>
            <w:vMerge w:val="restart"/>
            <w:tcBorders>
              <w:top w:val="single" w:color="auto" w:sz="6" w:space="0"/>
              <w:left w:val="single" w:color="auto" w:sz="4" w:space="0"/>
              <w:right w:val="nil"/>
            </w:tcBorders>
            <w:shd w:val="clear" w:color="auto" w:fill="FFFFFF"/>
            <w:vAlign w:val="center"/>
          </w:tcPr>
          <w:p>
            <w:pPr>
              <w:widowControl/>
              <w:spacing w:line="400" w:lineRule="exact"/>
              <w:jc w:val="center"/>
              <w:rPr>
                <w:rFonts w:hint="eastAsia" w:eastAsia="宋体"/>
                <w:color w:val="auto"/>
                <w:kern w:val="0"/>
                <w:szCs w:val="21"/>
                <w:lang w:val="en-US" w:eastAsia="zh-CN"/>
              </w:rPr>
            </w:pPr>
            <w:r>
              <w:rPr>
                <w:rFonts w:hint="eastAsia"/>
                <w:color w:val="auto"/>
                <w:kern w:val="0"/>
                <w:szCs w:val="21"/>
                <w:lang w:val="en-US" w:eastAsia="zh-CN"/>
              </w:rPr>
              <w:t>6</w:t>
            </w:r>
          </w:p>
        </w:tc>
        <w:tc>
          <w:tcPr>
            <w:tcW w:w="3839" w:type="dxa"/>
            <w:vMerge w:val="restart"/>
            <w:tcBorders>
              <w:top w:val="single" w:color="auto" w:sz="6" w:space="0"/>
              <w:left w:val="single" w:color="auto" w:sz="4" w:space="0"/>
              <w:right w:val="single" w:color="auto" w:sz="4" w:space="0"/>
            </w:tcBorders>
            <w:shd w:val="clear" w:color="auto" w:fill="FFFFFF"/>
            <w:vAlign w:val="center"/>
          </w:tcPr>
          <w:p>
            <w:pPr>
              <w:widowControl/>
              <w:spacing w:line="400" w:lineRule="exact"/>
              <w:jc w:val="center"/>
              <w:rPr>
                <w:rFonts w:hint="eastAsia"/>
                <w:color w:val="auto"/>
                <w:kern w:val="0"/>
                <w:szCs w:val="21"/>
                <w:lang w:val="en-US" w:eastAsia="zh-CN"/>
              </w:rPr>
            </w:pPr>
            <w:r>
              <w:rPr>
                <w:rFonts w:hint="eastAsia"/>
                <w:color w:val="auto"/>
                <w:kern w:val="0"/>
                <w:szCs w:val="21"/>
                <w:lang w:val="en-US" w:eastAsia="zh-CN"/>
              </w:rPr>
              <w:t>2232生药学或2261天然药物化学或2230高等有机化学</w:t>
            </w:r>
          </w:p>
        </w:tc>
      </w:tr>
      <w:tr>
        <w:tblPrEx>
          <w:tblCellMar>
            <w:top w:w="0" w:type="dxa"/>
            <w:left w:w="108" w:type="dxa"/>
            <w:bottom w:w="0" w:type="dxa"/>
            <w:right w:w="108" w:type="dxa"/>
          </w:tblCellMar>
        </w:tblPrEx>
        <w:trPr>
          <w:trHeight w:val="785" w:hRule="atLeast"/>
        </w:trPr>
        <w:tc>
          <w:tcPr>
            <w:tcW w:w="3610" w:type="dxa"/>
            <w:tcBorders>
              <w:top w:val="single" w:color="auto" w:sz="6" w:space="0"/>
              <w:left w:val="single" w:color="auto" w:sz="4" w:space="0"/>
              <w:bottom w:val="single" w:color="auto" w:sz="6" w:space="0"/>
              <w:right w:val="nil"/>
            </w:tcBorders>
            <w:shd w:val="clear" w:color="auto" w:fill="FFFFFF"/>
            <w:vAlign w:val="center"/>
          </w:tcPr>
          <w:p>
            <w:pPr>
              <w:rPr>
                <w:rFonts w:cs="宋体"/>
                <w:kern w:val="0"/>
                <w:szCs w:val="21"/>
              </w:rPr>
            </w:pPr>
            <w:r>
              <w:rPr>
                <w:rFonts w:hint="eastAsia" w:cs="宋体"/>
                <w:kern w:val="0"/>
                <w:szCs w:val="21"/>
              </w:rPr>
              <w:t>02天然药物化学</w:t>
            </w:r>
          </w:p>
          <w:p>
            <w:pPr>
              <w:rPr>
                <w:rFonts w:cs="宋体"/>
                <w:kern w:val="0"/>
                <w:szCs w:val="21"/>
                <w:highlight w:val="yellow"/>
              </w:rPr>
            </w:pPr>
            <w:r>
              <w:rPr>
                <w:rFonts w:hint="eastAsia" w:cs="宋体"/>
                <w:kern w:val="0"/>
                <w:szCs w:val="21"/>
              </w:rPr>
              <w:t>03海洋药物生物学</w:t>
            </w:r>
          </w:p>
        </w:tc>
        <w:tc>
          <w:tcPr>
            <w:tcW w:w="1320" w:type="dxa"/>
            <w:tcBorders>
              <w:top w:val="single" w:color="auto" w:sz="6" w:space="0"/>
              <w:left w:val="single" w:color="auto" w:sz="4" w:space="0"/>
              <w:bottom w:val="single" w:color="auto" w:sz="6" w:space="0"/>
              <w:right w:val="nil"/>
            </w:tcBorders>
            <w:shd w:val="clear" w:color="auto" w:fill="FFFFFF"/>
            <w:vAlign w:val="center"/>
          </w:tcPr>
          <w:p>
            <w:pPr>
              <w:ind w:firstLine="105" w:firstLineChars="50"/>
              <w:jc w:val="center"/>
              <w:rPr>
                <w:rFonts w:cs="宋体"/>
                <w:kern w:val="0"/>
                <w:szCs w:val="21"/>
              </w:rPr>
            </w:pPr>
            <w:r>
              <w:rPr>
                <w:rFonts w:hint="eastAsia" w:cs="宋体"/>
                <w:kern w:val="0"/>
                <w:szCs w:val="21"/>
              </w:rPr>
              <w:t>王长云</w:t>
            </w:r>
          </w:p>
        </w:tc>
        <w:tc>
          <w:tcPr>
            <w:tcW w:w="1360" w:type="dxa"/>
            <w:vMerge w:val="continue"/>
            <w:tcBorders>
              <w:left w:val="single" w:color="auto" w:sz="4" w:space="0"/>
              <w:right w:val="nil"/>
            </w:tcBorders>
            <w:shd w:val="clear" w:color="auto" w:fill="FFFFFF"/>
            <w:vAlign w:val="center"/>
          </w:tcPr>
          <w:p>
            <w:pPr>
              <w:widowControl/>
              <w:spacing w:line="400" w:lineRule="exact"/>
              <w:rPr>
                <w:color w:val="FF0000"/>
                <w:kern w:val="0"/>
                <w:szCs w:val="21"/>
              </w:rPr>
            </w:pPr>
          </w:p>
        </w:tc>
        <w:tc>
          <w:tcPr>
            <w:tcW w:w="3839" w:type="dxa"/>
            <w:vMerge w:val="continue"/>
            <w:tcBorders>
              <w:left w:val="single" w:color="auto" w:sz="4" w:space="0"/>
              <w:right w:val="single" w:color="auto" w:sz="4" w:space="0"/>
            </w:tcBorders>
            <w:shd w:val="clear" w:color="auto" w:fill="FFFFFF"/>
            <w:vAlign w:val="center"/>
          </w:tcPr>
          <w:p>
            <w:pPr>
              <w:widowControl/>
              <w:spacing w:line="400" w:lineRule="exact"/>
              <w:rPr>
                <w:color w:val="FF0000"/>
                <w:kern w:val="0"/>
                <w:szCs w:val="21"/>
              </w:rPr>
            </w:pPr>
          </w:p>
        </w:tc>
      </w:tr>
      <w:tr>
        <w:tblPrEx>
          <w:tblCellMar>
            <w:top w:w="0" w:type="dxa"/>
            <w:left w:w="108" w:type="dxa"/>
            <w:bottom w:w="0" w:type="dxa"/>
            <w:right w:w="108" w:type="dxa"/>
          </w:tblCellMar>
        </w:tblPrEx>
        <w:trPr>
          <w:trHeight w:val="605" w:hRule="atLeast"/>
        </w:trPr>
        <w:tc>
          <w:tcPr>
            <w:tcW w:w="3610" w:type="dxa"/>
            <w:tcBorders>
              <w:top w:val="single" w:color="auto" w:sz="6" w:space="0"/>
              <w:left w:val="single" w:color="auto" w:sz="4" w:space="0"/>
              <w:bottom w:val="single" w:color="auto" w:sz="6" w:space="0"/>
              <w:right w:val="nil"/>
            </w:tcBorders>
            <w:shd w:val="clear" w:color="auto" w:fill="FFFFFF"/>
            <w:vAlign w:val="center"/>
          </w:tcPr>
          <w:p>
            <w:pPr>
              <w:rPr>
                <w:rFonts w:cs="宋体"/>
                <w:kern w:val="0"/>
                <w:szCs w:val="21"/>
              </w:rPr>
            </w:pPr>
            <w:r>
              <w:rPr>
                <w:rFonts w:cs="宋体"/>
                <w:kern w:val="0"/>
                <w:szCs w:val="21"/>
              </w:rPr>
              <w:t>0</w:t>
            </w:r>
            <w:r>
              <w:rPr>
                <w:rFonts w:hint="eastAsia" w:cs="宋体"/>
                <w:kern w:val="0"/>
                <w:szCs w:val="21"/>
              </w:rPr>
              <w:t>4</w:t>
            </w:r>
            <w:r>
              <w:rPr>
                <w:rFonts w:cs="宋体"/>
                <w:kern w:val="0"/>
                <w:szCs w:val="21"/>
              </w:rPr>
              <w:t>海洋生物多糖研究</w:t>
            </w:r>
          </w:p>
        </w:tc>
        <w:tc>
          <w:tcPr>
            <w:tcW w:w="1320" w:type="dxa"/>
            <w:tcBorders>
              <w:top w:val="single" w:color="auto" w:sz="6" w:space="0"/>
              <w:left w:val="single" w:color="auto" w:sz="4" w:space="0"/>
              <w:bottom w:val="single" w:color="auto" w:sz="6" w:space="0"/>
              <w:right w:val="nil"/>
            </w:tcBorders>
            <w:shd w:val="clear" w:color="auto" w:fill="FFFFFF"/>
            <w:vAlign w:val="center"/>
          </w:tcPr>
          <w:p>
            <w:pPr>
              <w:ind w:firstLine="105" w:firstLineChars="50"/>
              <w:jc w:val="center"/>
              <w:rPr>
                <w:rFonts w:cs="宋体"/>
                <w:kern w:val="0"/>
                <w:szCs w:val="21"/>
              </w:rPr>
            </w:pPr>
            <w:r>
              <w:rPr>
                <w:rFonts w:cs="宋体"/>
                <w:kern w:val="0"/>
                <w:szCs w:val="21"/>
              </w:rPr>
              <w:t>毛文君</w:t>
            </w:r>
          </w:p>
        </w:tc>
        <w:tc>
          <w:tcPr>
            <w:tcW w:w="1360" w:type="dxa"/>
            <w:vMerge w:val="continue"/>
            <w:tcBorders>
              <w:left w:val="single" w:color="auto" w:sz="4" w:space="0"/>
              <w:right w:val="nil"/>
            </w:tcBorders>
            <w:shd w:val="clear" w:color="auto" w:fill="FFFFFF"/>
            <w:vAlign w:val="center"/>
          </w:tcPr>
          <w:p>
            <w:pPr>
              <w:widowControl/>
              <w:spacing w:line="400" w:lineRule="exact"/>
              <w:rPr>
                <w:color w:val="FF0000"/>
                <w:kern w:val="0"/>
                <w:szCs w:val="21"/>
              </w:rPr>
            </w:pPr>
          </w:p>
        </w:tc>
        <w:tc>
          <w:tcPr>
            <w:tcW w:w="3839" w:type="dxa"/>
            <w:vMerge w:val="continue"/>
            <w:tcBorders>
              <w:left w:val="single" w:color="auto" w:sz="4" w:space="0"/>
              <w:right w:val="single" w:color="auto" w:sz="4" w:space="0"/>
            </w:tcBorders>
            <w:shd w:val="clear" w:color="auto" w:fill="FFFFFF"/>
            <w:vAlign w:val="center"/>
          </w:tcPr>
          <w:p>
            <w:pPr>
              <w:widowControl/>
              <w:spacing w:line="400" w:lineRule="exact"/>
              <w:rPr>
                <w:color w:val="FF0000"/>
                <w:kern w:val="0"/>
                <w:szCs w:val="21"/>
              </w:rPr>
            </w:pPr>
          </w:p>
        </w:tc>
      </w:tr>
      <w:tr>
        <w:tblPrEx>
          <w:tblCellMar>
            <w:top w:w="0" w:type="dxa"/>
            <w:left w:w="108" w:type="dxa"/>
            <w:bottom w:w="0" w:type="dxa"/>
            <w:right w:w="108" w:type="dxa"/>
          </w:tblCellMar>
        </w:tblPrEx>
        <w:trPr>
          <w:trHeight w:val="745" w:hRule="atLeast"/>
        </w:trPr>
        <w:tc>
          <w:tcPr>
            <w:tcW w:w="3610" w:type="dxa"/>
            <w:tcBorders>
              <w:top w:val="single" w:color="auto" w:sz="6" w:space="0"/>
              <w:left w:val="single" w:color="auto" w:sz="4" w:space="0"/>
              <w:bottom w:val="single" w:color="auto" w:sz="6" w:space="0"/>
              <w:right w:val="nil"/>
            </w:tcBorders>
            <w:shd w:val="clear" w:color="auto" w:fill="FFFFFF"/>
            <w:vAlign w:val="center"/>
          </w:tcPr>
          <w:p>
            <w:pPr>
              <w:widowControl/>
              <w:spacing w:line="400" w:lineRule="exact"/>
              <w:rPr>
                <w:kern w:val="0"/>
                <w:szCs w:val="21"/>
              </w:rPr>
            </w:pPr>
            <w:r>
              <w:rPr>
                <w:rFonts w:hint="eastAsia"/>
                <w:kern w:val="0"/>
                <w:szCs w:val="21"/>
              </w:rPr>
              <w:t>05海洋中药药效物质与质量评价</w:t>
            </w:r>
          </w:p>
        </w:tc>
        <w:tc>
          <w:tcPr>
            <w:tcW w:w="1320" w:type="dxa"/>
            <w:tcBorders>
              <w:top w:val="single" w:color="auto" w:sz="6" w:space="0"/>
              <w:left w:val="single" w:color="auto" w:sz="4" w:space="0"/>
              <w:bottom w:val="single" w:color="auto" w:sz="6" w:space="0"/>
              <w:right w:val="nil"/>
            </w:tcBorders>
            <w:shd w:val="clear" w:color="auto" w:fill="FFFFFF"/>
            <w:vAlign w:val="center"/>
          </w:tcPr>
          <w:p>
            <w:pPr>
              <w:widowControl/>
              <w:spacing w:line="400" w:lineRule="exact"/>
              <w:jc w:val="center"/>
              <w:rPr>
                <w:kern w:val="0"/>
                <w:szCs w:val="21"/>
              </w:rPr>
            </w:pPr>
            <w:r>
              <w:rPr>
                <w:rFonts w:hint="eastAsia" w:cs="宋体"/>
                <w:kern w:val="0"/>
                <w:szCs w:val="21"/>
              </w:rPr>
              <w:t>刘红兵</w:t>
            </w:r>
          </w:p>
        </w:tc>
        <w:tc>
          <w:tcPr>
            <w:tcW w:w="1360" w:type="dxa"/>
            <w:vMerge w:val="continue"/>
            <w:tcBorders>
              <w:left w:val="single" w:color="auto" w:sz="4" w:space="0"/>
              <w:bottom w:val="single" w:color="auto" w:sz="6" w:space="0"/>
              <w:right w:val="nil"/>
            </w:tcBorders>
            <w:shd w:val="clear" w:color="auto" w:fill="FFFFFF"/>
            <w:vAlign w:val="center"/>
          </w:tcPr>
          <w:p>
            <w:pPr>
              <w:widowControl/>
              <w:spacing w:line="400" w:lineRule="exact"/>
              <w:rPr>
                <w:color w:val="FF0000"/>
                <w:kern w:val="0"/>
                <w:szCs w:val="21"/>
              </w:rPr>
            </w:pPr>
          </w:p>
        </w:tc>
        <w:tc>
          <w:tcPr>
            <w:tcW w:w="3839" w:type="dxa"/>
            <w:vMerge w:val="continue"/>
            <w:tcBorders>
              <w:left w:val="single" w:color="auto" w:sz="4" w:space="0"/>
              <w:bottom w:val="single" w:color="auto" w:sz="6" w:space="0"/>
              <w:right w:val="single" w:color="auto" w:sz="4" w:space="0"/>
            </w:tcBorders>
            <w:shd w:val="clear" w:color="auto" w:fill="FFFFFF"/>
            <w:vAlign w:val="center"/>
          </w:tcPr>
          <w:p>
            <w:pPr>
              <w:widowControl/>
              <w:spacing w:line="400" w:lineRule="exact"/>
              <w:rPr>
                <w:color w:val="FF0000"/>
                <w:kern w:val="0"/>
                <w:szCs w:val="21"/>
              </w:rPr>
            </w:pPr>
          </w:p>
        </w:tc>
      </w:tr>
      <w:tr>
        <w:tblPrEx>
          <w:tblCellMar>
            <w:top w:w="0" w:type="dxa"/>
            <w:left w:w="108" w:type="dxa"/>
            <w:bottom w:w="0" w:type="dxa"/>
            <w:right w:w="108" w:type="dxa"/>
          </w:tblCellMar>
        </w:tblPrEx>
        <w:trPr>
          <w:trHeight w:val="665" w:hRule="atLeast"/>
        </w:trPr>
        <w:tc>
          <w:tcPr>
            <w:tcW w:w="10129" w:type="dxa"/>
            <w:gridSpan w:val="4"/>
            <w:tcBorders>
              <w:top w:val="single" w:color="auto" w:sz="6" w:space="0"/>
              <w:left w:val="single" w:color="auto" w:sz="4" w:space="0"/>
              <w:bottom w:val="single" w:color="auto" w:sz="6" w:space="0"/>
              <w:right w:val="single" w:color="auto" w:sz="4" w:space="0"/>
            </w:tcBorders>
            <w:shd w:val="clear" w:color="auto" w:fill="FFFFFF"/>
            <w:vAlign w:val="center"/>
          </w:tcPr>
          <w:p>
            <w:pPr>
              <w:widowControl/>
              <w:spacing w:line="400" w:lineRule="exact"/>
              <w:rPr>
                <w:color w:val="FF0000"/>
                <w:kern w:val="0"/>
                <w:szCs w:val="21"/>
              </w:rPr>
            </w:pPr>
            <w:r>
              <w:rPr>
                <w:rFonts w:hint="eastAsia"/>
                <w:b/>
                <w:bCs/>
                <w:kern w:val="0"/>
                <w:szCs w:val="21"/>
              </w:rPr>
              <w:t>100704药物分析学</w:t>
            </w:r>
          </w:p>
        </w:tc>
      </w:tr>
      <w:tr>
        <w:tblPrEx>
          <w:tblCellMar>
            <w:top w:w="0" w:type="dxa"/>
            <w:left w:w="108" w:type="dxa"/>
            <w:bottom w:w="0" w:type="dxa"/>
            <w:right w:w="108" w:type="dxa"/>
          </w:tblCellMar>
        </w:tblPrEx>
        <w:trPr>
          <w:trHeight w:val="1015" w:hRule="atLeast"/>
        </w:trPr>
        <w:tc>
          <w:tcPr>
            <w:tcW w:w="3610" w:type="dxa"/>
            <w:tcBorders>
              <w:top w:val="single" w:color="auto" w:sz="6" w:space="0"/>
              <w:left w:val="single" w:color="auto" w:sz="4" w:space="0"/>
              <w:bottom w:val="single" w:color="auto" w:sz="6" w:space="0"/>
              <w:right w:val="nil"/>
            </w:tcBorders>
            <w:shd w:val="clear" w:color="auto" w:fill="FFFFFF"/>
            <w:vAlign w:val="center"/>
          </w:tcPr>
          <w:p>
            <w:pPr>
              <w:rPr>
                <w:rFonts w:cs="宋体"/>
                <w:kern w:val="0"/>
                <w:szCs w:val="21"/>
              </w:rPr>
            </w:pPr>
            <w:r>
              <w:rPr>
                <w:rFonts w:cs="宋体"/>
                <w:kern w:val="0"/>
                <w:szCs w:val="21"/>
              </w:rPr>
              <w:t>01</w:t>
            </w:r>
            <w:r>
              <w:rPr>
                <w:rFonts w:hint="eastAsia" w:cs="宋体"/>
                <w:kern w:val="0"/>
                <w:szCs w:val="21"/>
              </w:rPr>
              <w:t>药物分析方法与质量控制</w:t>
            </w:r>
          </w:p>
          <w:p>
            <w:pPr>
              <w:rPr>
                <w:rFonts w:cs="宋体"/>
                <w:kern w:val="0"/>
                <w:szCs w:val="21"/>
              </w:rPr>
            </w:pPr>
            <w:r>
              <w:rPr>
                <w:rFonts w:cs="宋体"/>
                <w:kern w:val="0"/>
                <w:szCs w:val="21"/>
              </w:rPr>
              <w:t>02</w:t>
            </w:r>
            <w:r>
              <w:rPr>
                <w:rFonts w:hint="eastAsia" w:cs="宋体"/>
                <w:kern w:val="0"/>
                <w:szCs w:val="21"/>
              </w:rPr>
              <w:t>药物代谢动力学</w:t>
            </w:r>
          </w:p>
        </w:tc>
        <w:tc>
          <w:tcPr>
            <w:tcW w:w="1320" w:type="dxa"/>
            <w:tcBorders>
              <w:top w:val="single" w:color="auto" w:sz="6" w:space="0"/>
              <w:left w:val="single" w:color="auto" w:sz="4" w:space="0"/>
              <w:bottom w:val="single" w:color="auto" w:sz="6" w:space="0"/>
              <w:right w:val="nil"/>
            </w:tcBorders>
            <w:shd w:val="clear" w:color="auto" w:fill="FFFFFF"/>
            <w:vAlign w:val="center"/>
          </w:tcPr>
          <w:p>
            <w:pPr>
              <w:jc w:val="center"/>
              <w:rPr>
                <w:rFonts w:cs="宋体"/>
                <w:kern w:val="0"/>
                <w:szCs w:val="21"/>
              </w:rPr>
            </w:pPr>
            <w:r>
              <w:rPr>
                <w:rFonts w:hint="eastAsia" w:cs="宋体"/>
                <w:kern w:val="0"/>
                <w:szCs w:val="21"/>
              </w:rPr>
              <w:t>吕志华</w:t>
            </w:r>
          </w:p>
        </w:tc>
        <w:tc>
          <w:tcPr>
            <w:tcW w:w="1360" w:type="dxa"/>
            <w:vMerge w:val="restart"/>
            <w:tcBorders>
              <w:top w:val="single" w:color="auto" w:sz="6" w:space="0"/>
              <w:left w:val="single" w:color="auto" w:sz="4" w:space="0"/>
              <w:right w:val="nil"/>
            </w:tcBorders>
            <w:shd w:val="clear" w:color="auto" w:fill="FFFFFF"/>
            <w:vAlign w:val="center"/>
          </w:tcPr>
          <w:p>
            <w:pPr>
              <w:widowControl/>
              <w:spacing w:line="400" w:lineRule="exact"/>
              <w:jc w:val="center"/>
              <w:rPr>
                <w:rFonts w:hint="eastAsia" w:eastAsia="宋体"/>
                <w:b w:val="0"/>
                <w:bCs w:val="0"/>
                <w:color w:val="auto"/>
                <w:kern w:val="0"/>
                <w:szCs w:val="21"/>
                <w:lang w:val="en-US" w:eastAsia="zh-CN"/>
              </w:rPr>
            </w:pPr>
            <w:r>
              <w:rPr>
                <w:rFonts w:hint="eastAsia"/>
                <w:b w:val="0"/>
                <w:bCs w:val="0"/>
                <w:color w:val="auto"/>
                <w:kern w:val="0"/>
                <w:szCs w:val="21"/>
                <w:lang w:val="en-US" w:eastAsia="zh-CN"/>
              </w:rPr>
              <w:t>4</w:t>
            </w:r>
          </w:p>
        </w:tc>
        <w:tc>
          <w:tcPr>
            <w:tcW w:w="3839" w:type="dxa"/>
            <w:vMerge w:val="restart"/>
            <w:tcBorders>
              <w:top w:val="single" w:color="auto" w:sz="6" w:space="0"/>
              <w:left w:val="single" w:color="auto" w:sz="4" w:space="0"/>
              <w:right w:val="single" w:color="auto" w:sz="4" w:space="0"/>
            </w:tcBorders>
            <w:shd w:val="clear" w:color="auto" w:fill="FFFFFF"/>
            <w:vAlign w:val="center"/>
          </w:tcPr>
          <w:p>
            <w:pPr>
              <w:widowControl/>
              <w:spacing w:line="400" w:lineRule="exact"/>
              <w:jc w:val="center"/>
              <w:rPr>
                <w:b w:val="0"/>
                <w:bCs w:val="0"/>
                <w:color w:val="auto"/>
                <w:kern w:val="0"/>
                <w:szCs w:val="21"/>
              </w:rPr>
            </w:pPr>
            <w:r>
              <w:rPr>
                <w:rFonts w:hint="eastAsia" w:cs="宋体"/>
                <w:b w:val="0"/>
                <w:bCs w:val="0"/>
                <w:color w:val="auto"/>
                <w:kern w:val="0"/>
                <w:lang w:val="en-US" w:eastAsia="zh-CN"/>
              </w:rPr>
              <w:t>2233</w:t>
            </w:r>
            <w:r>
              <w:rPr>
                <w:rFonts w:hint="eastAsia" w:cs="宋体"/>
                <w:b w:val="0"/>
                <w:bCs w:val="0"/>
                <w:color w:val="auto"/>
                <w:kern w:val="0"/>
              </w:rPr>
              <w:t>药物分析</w:t>
            </w:r>
          </w:p>
        </w:tc>
      </w:tr>
      <w:tr>
        <w:tblPrEx>
          <w:tblCellMar>
            <w:top w:w="0" w:type="dxa"/>
            <w:left w:w="108" w:type="dxa"/>
            <w:bottom w:w="0" w:type="dxa"/>
            <w:right w:w="108" w:type="dxa"/>
          </w:tblCellMar>
        </w:tblPrEx>
        <w:trPr>
          <w:trHeight w:val="1015" w:hRule="atLeast"/>
        </w:trPr>
        <w:tc>
          <w:tcPr>
            <w:tcW w:w="3610" w:type="dxa"/>
            <w:tcBorders>
              <w:top w:val="single" w:color="auto" w:sz="6" w:space="0"/>
              <w:left w:val="single" w:color="auto" w:sz="4" w:space="0"/>
              <w:bottom w:val="single" w:color="auto" w:sz="6" w:space="0"/>
              <w:right w:val="nil"/>
            </w:tcBorders>
            <w:shd w:val="clear" w:color="auto" w:fill="FFFFFF"/>
            <w:vAlign w:val="center"/>
          </w:tcPr>
          <w:p>
            <w:pPr>
              <w:rPr>
                <w:rFonts w:cs="宋体"/>
                <w:kern w:val="0"/>
                <w:szCs w:val="21"/>
              </w:rPr>
            </w:pPr>
            <w:r>
              <w:rPr>
                <w:rFonts w:hint="eastAsia" w:cs="宋体"/>
                <w:kern w:val="0"/>
                <w:szCs w:val="21"/>
              </w:rPr>
              <w:t>03糖及其复合物结构与功能研究</w:t>
            </w:r>
          </w:p>
          <w:p>
            <w:pPr>
              <w:rPr>
                <w:rFonts w:cs="宋体"/>
                <w:kern w:val="0"/>
                <w:szCs w:val="21"/>
                <w:highlight w:val="yellow"/>
              </w:rPr>
            </w:pPr>
            <w:r>
              <w:rPr>
                <w:rFonts w:hint="eastAsia" w:cs="宋体"/>
                <w:kern w:val="0"/>
                <w:szCs w:val="21"/>
              </w:rPr>
              <w:t>04糖类化合物肠道代谢产物分析研究</w:t>
            </w:r>
          </w:p>
        </w:tc>
        <w:tc>
          <w:tcPr>
            <w:tcW w:w="1320" w:type="dxa"/>
            <w:tcBorders>
              <w:top w:val="single" w:color="auto" w:sz="6" w:space="0"/>
              <w:left w:val="single" w:color="auto" w:sz="4" w:space="0"/>
              <w:bottom w:val="single" w:color="auto" w:sz="6" w:space="0"/>
              <w:right w:val="nil"/>
            </w:tcBorders>
            <w:shd w:val="clear" w:color="auto" w:fill="FFFFFF"/>
            <w:vAlign w:val="center"/>
          </w:tcPr>
          <w:p>
            <w:pPr>
              <w:jc w:val="center"/>
              <w:rPr>
                <w:rFonts w:cs="宋体"/>
                <w:kern w:val="0"/>
                <w:szCs w:val="21"/>
              </w:rPr>
            </w:pPr>
            <w:r>
              <w:rPr>
                <w:rFonts w:hint="eastAsia" w:cs="宋体"/>
                <w:kern w:val="0"/>
                <w:szCs w:val="21"/>
              </w:rPr>
              <w:t>于广利</w:t>
            </w:r>
          </w:p>
        </w:tc>
        <w:tc>
          <w:tcPr>
            <w:tcW w:w="1360" w:type="dxa"/>
            <w:vMerge w:val="continue"/>
            <w:tcBorders>
              <w:left w:val="single" w:color="auto" w:sz="4" w:space="0"/>
              <w:right w:val="nil"/>
            </w:tcBorders>
            <w:shd w:val="clear" w:color="auto" w:fill="FFFFFF"/>
            <w:vAlign w:val="center"/>
          </w:tcPr>
          <w:p>
            <w:pPr>
              <w:widowControl/>
              <w:spacing w:line="400" w:lineRule="exact"/>
              <w:rPr>
                <w:color w:val="FF0000"/>
                <w:kern w:val="0"/>
                <w:szCs w:val="21"/>
              </w:rPr>
            </w:pPr>
          </w:p>
        </w:tc>
        <w:tc>
          <w:tcPr>
            <w:tcW w:w="3839" w:type="dxa"/>
            <w:vMerge w:val="continue"/>
            <w:tcBorders>
              <w:left w:val="single" w:color="auto" w:sz="4" w:space="0"/>
              <w:right w:val="single" w:color="auto" w:sz="4" w:space="0"/>
            </w:tcBorders>
            <w:shd w:val="clear" w:color="auto" w:fill="FFFFFF"/>
            <w:vAlign w:val="center"/>
          </w:tcPr>
          <w:p>
            <w:pPr>
              <w:widowControl/>
              <w:spacing w:line="400" w:lineRule="exact"/>
              <w:rPr>
                <w:color w:val="FF0000"/>
                <w:kern w:val="0"/>
                <w:szCs w:val="21"/>
              </w:rPr>
            </w:pPr>
          </w:p>
        </w:tc>
      </w:tr>
      <w:tr>
        <w:tblPrEx>
          <w:tblCellMar>
            <w:top w:w="0" w:type="dxa"/>
            <w:left w:w="108" w:type="dxa"/>
            <w:bottom w:w="0" w:type="dxa"/>
            <w:right w:w="108" w:type="dxa"/>
          </w:tblCellMar>
        </w:tblPrEx>
        <w:trPr>
          <w:trHeight w:val="1015" w:hRule="atLeast"/>
        </w:trPr>
        <w:tc>
          <w:tcPr>
            <w:tcW w:w="3610" w:type="dxa"/>
            <w:tcBorders>
              <w:top w:val="single" w:color="auto" w:sz="6" w:space="0"/>
              <w:left w:val="single" w:color="auto" w:sz="4" w:space="0"/>
              <w:bottom w:val="single" w:color="auto" w:sz="6" w:space="0"/>
              <w:right w:val="nil"/>
            </w:tcBorders>
            <w:shd w:val="clear" w:color="auto" w:fill="FFFFFF"/>
            <w:vAlign w:val="center"/>
          </w:tcPr>
          <w:p>
            <w:pPr>
              <w:widowControl/>
              <w:spacing w:line="400" w:lineRule="exact"/>
              <w:rPr>
                <w:kern w:val="0"/>
                <w:szCs w:val="21"/>
              </w:rPr>
            </w:pPr>
            <w:r>
              <w:rPr>
                <w:rFonts w:hint="eastAsia"/>
                <w:kern w:val="0"/>
                <w:szCs w:val="21"/>
              </w:rPr>
              <w:t>05分子诊断技术开发</w:t>
            </w:r>
          </w:p>
          <w:p>
            <w:pPr>
              <w:widowControl/>
              <w:spacing w:line="400" w:lineRule="exact"/>
              <w:rPr>
                <w:kern w:val="0"/>
                <w:szCs w:val="21"/>
              </w:rPr>
            </w:pPr>
            <w:r>
              <w:rPr>
                <w:rFonts w:hint="eastAsia"/>
                <w:kern w:val="0"/>
                <w:szCs w:val="21"/>
              </w:rPr>
              <w:t>06 药物高通量筛选和药物作用机制研究</w:t>
            </w:r>
          </w:p>
        </w:tc>
        <w:tc>
          <w:tcPr>
            <w:tcW w:w="1320" w:type="dxa"/>
            <w:tcBorders>
              <w:top w:val="single" w:color="auto" w:sz="6" w:space="0"/>
              <w:left w:val="single" w:color="auto" w:sz="4" w:space="0"/>
              <w:bottom w:val="single" w:color="auto" w:sz="6" w:space="0"/>
              <w:right w:val="nil"/>
            </w:tcBorders>
            <w:shd w:val="clear" w:color="auto" w:fill="FFFFFF"/>
            <w:vAlign w:val="center"/>
          </w:tcPr>
          <w:p>
            <w:pPr>
              <w:jc w:val="center"/>
              <w:rPr>
                <w:rFonts w:cs="宋体"/>
                <w:kern w:val="0"/>
                <w:szCs w:val="21"/>
              </w:rPr>
            </w:pPr>
            <w:r>
              <w:rPr>
                <w:rFonts w:hint="eastAsia" w:cs="宋体"/>
                <w:kern w:val="0"/>
                <w:szCs w:val="21"/>
              </w:rPr>
              <w:t>邱  雪</w:t>
            </w:r>
          </w:p>
        </w:tc>
        <w:tc>
          <w:tcPr>
            <w:tcW w:w="1360" w:type="dxa"/>
            <w:vMerge w:val="continue"/>
            <w:tcBorders>
              <w:left w:val="single" w:color="auto" w:sz="4" w:space="0"/>
              <w:bottom w:val="single" w:color="auto" w:sz="6" w:space="0"/>
              <w:right w:val="nil"/>
            </w:tcBorders>
            <w:shd w:val="clear" w:color="auto" w:fill="FFFFFF"/>
            <w:vAlign w:val="center"/>
          </w:tcPr>
          <w:p>
            <w:pPr>
              <w:jc w:val="center"/>
              <w:rPr>
                <w:rFonts w:cs="宋体"/>
                <w:kern w:val="0"/>
                <w:szCs w:val="21"/>
              </w:rPr>
            </w:pPr>
          </w:p>
        </w:tc>
        <w:tc>
          <w:tcPr>
            <w:tcW w:w="3839" w:type="dxa"/>
            <w:vMerge w:val="continue"/>
            <w:tcBorders>
              <w:left w:val="single" w:color="auto" w:sz="4" w:space="0"/>
              <w:bottom w:val="single" w:color="auto" w:sz="6" w:space="0"/>
              <w:right w:val="single" w:color="auto" w:sz="4" w:space="0"/>
            </w:tcBorders>
            <w:shd w:val="clear" w:color="auto" w:fill="FFFFFF"/>
            <w:vAlign w:val="center"/>
          </w:tcPr>
          <w:p>
            <w:pPr>
              <w:widowControl/>
              <w:spacing w:line="400" w:lineRule="exact"/>
              <w:rPr>
                <w:color w:val="FF0000"/>
                <w:kern w:val="0"/>
                <w:szCs w:val="21"/>
              </w:rPr>
            </w:pPr>
          </w:p>
        </w:tc>
      </w:tr>
      <w:tr>
        <w:tblPrEx>
          <w:tblCellMar>
            <w:top w:w="0" w:type="dxa"/>
            <w:left w:w="108" w:type="dxa"/>
            <w:bottom w:w="0" w:type="dxa"/>
            <w:right w:w="108" w:type="dxa"/>
          </w:tblCellMar>
        </w:tblPrEx>
        <w:trPr>
          <w:trHeight w:val="685" w:hRule="atLeast"/>
        </w:trPr>
        <w:tc>
          <w:tcPr>
            <w:tcW w:w="10129" w:type="dxa"/>
            <w:gridSpan w:val="4"/>
            <w:tcBorders>
              <w:top w:val="single" w:color="auto" w:sz="6" w:space="0"/>
              <w:left w:val="single" w:color="auto" w:sz="4" w:space="0"/>
              <w:bottom w:val="single" w:color="auto" w:sz="6" w:space="0"/>
              <w:right w:val="single" w:color="auto" w:sz="4" w:space="0"/>
            </w:tcBorders>
            <w:shd w:val="clear" w:color="auto" w:fill="FFFFFF"/>
            <w:vAlign w:val="center"/>
          </w:tcPr>
          <w:p>
            <w:pPr>
              <w:widowControl/>
              <w:spacing w:line="400" w:lineRule="exact"/>
              <w:rPr>
                <w:color w:val="FF0000"/>
                <w:kern w:val="0"/>
                <w:szCs w:val="21"/>
              </w:rPr>
            </w:pPr>
            <w:r>
              <w:rPr>
                <w:rFonts w:cs="宋体"/>
                <w:b/>
                <w:kern w:val="0"/>
                <w:szCs w:val="21"/>
              </w:rPr>
              <w:t>100705</w:t>
            </w:r>
            <w:r>
              <w:rPr>
                <w:rFonts w:hint="eastAsia" w:cs="宋体"/>
                <w:b/>
                <w:kern w:val="0"/>
                <w:szCs w:val="21"/>
              </w:rPr>
              <w:t>微生物与生化药学</w:t>
            </w:r>
          </w:p>
        </w:tc>
      </w:tr>
      <w:tr>
        <w:tblPrEx>
          <w:tblCellMar>
            <w:top w:w="0" w:type="dxa"/>
            <w:left w:w="108" w:type="dxa"/>
            <w:bottom w:w="0" w:type="dxa"/>
            <w:right w:w="108" w:type="dxa"/>
          </w:tblCellMar>
        </w:tblPrEx>
        <w:trPr>
          <w:trHeight w:val="1155" w:hRule="atLeast"/>
        </w:trPr>
        <w:tc>
          <w:tcPr>
            <w:tcW w:w="3610" w:type="dxa"/>
            <w:tcBorders>
              <w:top w:val="single" w:color="auto" w:sz="6" w:space="0"/>
              <w:left w:val="single" w:color="auto" w:sz="4" w:space="0"/>
              <w:bottom w:val="single" w:color="auto" w:sz="6" w:space="0"/>
              <w:right w:val="nil"/>
            </w:tcBorders>
            <w:shd w:val="clear" w:color="auto" w:fill="FFFFFF"/>
            <w:vAlign w:val="center"/>
          </w:tcPr>
          <w:p>
            <w:pPr>
              <w:jc w:val="left"/>
              <w:rPr>
                <w:rFonts w:cs="宋体"/>
                <w:kern w:val="0"/>
                <w:szCs w:val="21"/>
              </w:rPr>
            </w:pPr>
            <w:r>
              <w:rPr>
                <w:rFonts w:cs="宋体"/>
                <w:kern w:val="0"/>
                <w:szCs w:val="21"/>
              </w:rPr>
              <w:t>01</w:t>
            </w:r>
            <w:r>
              <w:rPr>
                <w:rFonts w:hint="eastAsia" w:ascii="宋体" w:hAnsi="宋体" w:cs="宋体"/>
                <w:szCs w:val="21"/>
              </w:rPr>
              <w:t>海洋微生物酶学</w:t>
            </w:r>
          </w:p>
          <w:p>
            <w:pPr>
              <w:jc w:val="left"/>
              <w:rPr>
                <w:rFonts w:cs="宋体"/>
                <w:kern w:val="0"/>
                <w:szCs w:val="21"/>
              </w:rPr>
            </w:pPr>
            <w:r>
              <w:rPr>
                <w:rFonts w:cs="宋体"/>
                <w:kern w:val="0"/>
                <w:szCs w:val="21"/>
              </w:rPr>
              <w:t>02</w:t>
            </w:r>
            <w:r>
              <w:rPr>
                <w:rFonts w:hint="eastAsia" w:ascii="宋体" w:hAnsi="宋体" w:cs="宋体"/>
                <w:szCs w:val="21"/>
              </w:rPr>
              <w:t>糖生物学</w:t>
            </w:r>
          </w:p>
        </w:tc>
        <w:tc>
          <w:tcPr>
            <w:tcW w:w="1320" w:type="dxa"/>
            <w:tcBorders>
              <w:top w:val="single" w:color="auto" w:sz="6" w:space="0"/>
              <w:left w:val="single" w:color="auto" w:sz="4" w:space="0"/>
              <w:bottom w:val="single" w:color="auto" w:sz="6" w:space="0"/>
              <w:right w:val="nil"/>
            </w:tcBorders>
            <w:shd w:val="clear" w:color="auto" w:fill="FFFFFF"/>
            <w:vAlign w:val="center"/>
          </w:tcPr>
          <w:p>
            <w:pPr>
              <w:jc w:val="center"/>
              <w:rPr>
                <w:rFonts w:cs="宋体"/>
                <w:kern w:val="0"/>
                <w:szCs w:val="21"/>
              </w:rPr>
            </w:pPr>
            <w:r>
              <w:rPr>
                <w:rFonts w:hint="eastAsia" w:cs="宋体"/>
                <w:kern w:val="0"/>
                <w:szCs w:val="21"/>
              </w:rPr>
              <w:t>于文功</w:t>
            </w:r>
          </w:p>
        </w:tc>
        <w:tc>
          <w:tcPr>
            <w:tcW w:w="1360" w:type="dxa"/>
            <w:vMerge w:val="restart"/>
            <w:tcBorders>
              <w:top w:val="single" w:color="auto" w:sz="6" w:space="0"/>
              <w:left w:val="single" w:color="auto" w:sz="4" w:space="0"/>
              <w:right w:val="nil"/>
            </w:tcBorders>
            <w:shd w:val="clear" w:color="auto" w:fill="FFFFFF"/>
            <w:vAlign w:val="center"/>
          </w:tcPr>
          <w:p>
            <w:pPr>
              <w:widowControl/>
              <w:spacing w:line="400" w:lineRule="exact"/>
              <w:jc w:val="center"/>
              <w:rPr>
                <w:rFonts w:hint="eastAsia" w:eastAsia="宋体"/>
                <w:b w:val="0"/>
                <w:bCs w:val="0"/>
                <w:color w:val="FF0000"/>
                <w:kern w:val="0"/>
                <w:szCs w:val="21"/>
                <w:lang w:val="en-US" w:eastAsia="zh-CN"/>
              </w:rPr>
            </w:pPr>
            <w:r>
              <w:rPr>
                <w:rFonts w:hint="eastAsia"/>
                <w:b w:val="0"/>
                <w:bCs w:val="0"/>
                <w:color w:val="auto"/>
                <w:kern w:val="0"/>
                <w:szCs w:val="21"/>
                <w:lang w:val="en-US" w:eastAsia="zh-CN"/>
              </w:rPr>
              <w:t>7</w:t>
            </w:r>
          </w:p>
        </w:tc>
        <w:tc>
          <w:tcPr>
            <w:tcW w:w="3839" w:type="dxa"/>
            <w:vMerge w:val="restart"/>
            <w:tcBorders>
              <w:top w:val="single" w:color="auto" w:sz="6" w:space="0"/>
              <w:left w:val="single" w:color="auto" w:sz="4" w:space="0"/>
              <w:right w:val="single" w:color="auto" w:sz="4" w:space="0"/>
            </w:tcBorders>
            <w:shd w:val="clear" w:color="auto" w:fill="FFFFFF"/>
            <w:vAlign w:val="center"/>
          </w:tcPr>
          <w:p>
            <w:pPr>
              <w:widowControl/>
              <w:spacing w:line="400" w:lineRule="exact"/>
              <w:rPr>
                <w:b w:val="0"/>
                <w:bCs w:val="0"/>
                <w:color w:val="FF0000"/>
                <w:kern w:val="0"/>
                <w:szCs w:val="21"/>
              </w:rPr>
            </w:pPr>
            <w:r>
              <w:rPr>
                <w:rFonts w:hint="eastAsia" w:cs="宋体"/>
                <w:b w:val="0"/>
                <w:bCs w:val="0"/>
                <w:kern w:val="0"/>
                <w:lang w:val="en-US" w:eastAsia="zh-CN"/>
              </w:rPr>
              <w:t>2262</w:t>
            </w:r>
            <w:r>
              <w:rPr>
                <w:rFonts w:hint="eastAsia" w:cs="宋体"/>
                <w:b w:val="0"/>
                <w:bCs w:val="0"/>
                <w:kern w:val="0"/>
              </w:rPr>
              <w:t>微生物学或</w:t>
            </w:r>
            <w:r>
              <w:rPr>
                <w:rFonts w:hint="eastAsia" w:cs="宋体"/>
                <w:b w:val="0"/>
                <w:bCs w:val="0"/>
                <w:kern w:val="0"/>
                <w:lang w:val="en-US" w:eastAsia="zh-CN"/>
              </w:rPr>
              <w:t>2261</w:t>
            </w:r>
            <w:r>
              <w:rPr>
                <w:rFonts w:hint="eastAsia" w:cs="宋体"/>
                <w:b w:val="0"/>
                <w:bCs w:val="0"/>
                <w:kern w:val="0"/>
              </w:rPr>
              <w:t>天然药物化学或</w:t>
            </w:r>
            <w:r>
              <w:rPr>
                <w:rFonts w:hint="eastAsia" w:cs="宋体"/>
                <w:b w:val="0"/>
                <w:bCs w:val="0"/>
                <w:kern w:val="0"/>
                <w:lang w:val="en-US" w:eastAsia="zh-CN"/>
              </w:rPr>
              <w:t>2265</w:t>
            </w:r>
            <w:r>
              <w:rPr>
                <w:rFonts w:hint="eastAsia" w:cs="宋体"/>
                <w:b w:val="0"/>
                <w:bCs w:val="0"/>
                <w:kern w:val="0"/>
              </w:rPr>
              <w:t>分子生物学或</w:t>
            </w:r>
            <w:r>
              <w:rPr>
                <w:rFonts w:hint="eastAsia" w:cs="宋体"/>
                <w:b w:val="0"/>
                <w:bCs w:val="0"/>
                <w:kern w:val="0"/>
                <w:lang w:val="en-US" w:eastAsia="zh-CN"/>
              </w:rPr>
              <w:t>2266</w:t>
            </w:r>
            <w:r>
              <w:rPr>
                <w:rFonts w:hint="eastAsia" w:cs="宋体"/>
                <w:b w:val="0"/>
                <w:bCs w:val="0"/>
                <w:kern w:val="0"/>
              </w:rPr>
              <w:t>生物化学</w:t>
            </w:r>
          </w:p>
        </w:tc>
      </w:tr>
      <w:tr>
        <w:tblPrEx>
          <w:tblCellMar>
            <w:top w:w="0" w:type="dxa"/>
            <w:left w:w="108" w:type="dxa"/>
            <w:bottom w:w="0" w:type="dxa"/>
            <w:right w:w="108" w:type="dxa"/>
          </w:tblCellMar>
        </w:tblPrEx>
        <w:trPr>
          <w:trHeight w:val="1015" w:hRule="atLeast"/>
        </w:trPr>
        <w:tc>
          <w:tcPr>
            <w:tcW w:w="3610" w:type="dxa"/>
            <w:tcBorders>
              <w:top w:val="single" w:color="auto" w:sz="6" w:space="0"/>
              <w:left w:val="single" w:color="auto" w:sz="4" w:space="0"/>
              <w:bottom w:val="single" w:color="auto" w:sz="6" w:space="0"/>
              <w:right w:val="nil"/>
            </w:tcBorders>
            <w:shd w:val="clear" w:color="auto" w:fill="FFFFFF"/>
            <w:vAlign w:val="center"/>
          </w:tcPr>
          <w:p>
            <w:pPr>
              <w:jc w:val="left"/>
              <w:rPr>
                <w:rFonts w:cs="宋体"/>
                <w:kern w:val="0"/>
                <w:szCs w:val="21"/>
              </w:rPr>
            </w:pPr>
            <w:r>
              <w:rPr>
                <w:rFonts w:hint="eastAsia" w:cs="宋体"/>
                <w:kern w:val="0"/>
                <w:szCs w:val="21"/>
              </w:rPr>
              <w:t>03天然产物生物合成分子机制</w:t>
            </w:r>
          </w:p>
          <w:p>
            <w:pPr>
              <w:jc w:val="left"/>
              <w:rPr>
                <w:rFonts w:cs="宋体"/>
                <w:kern w:val="0"/>
                <w:szCs w:val="21"/>
              </w:rPr>
            </w:pPr>
            <w:r>
              <w:rPr>
                <w:rFonts w:hint="eastAsia" w:cs="宋体"/>
                <w:kern w:val="0"/>
                <w:szCs w:val="21"/>
              </w:rPr>
              <w:t>04合成生物学与代谢工程</w:t>
            </w:r>
          </w:p>
        </w:tc>
        <w:tc>
          <w:tcPr>
            <w:tcW w:w="1320" w:type="dxa"/>
            <w:tcBorders>
              <w:top w:val="single" w:color="auto" w:sz="6" w:space="0"/>
              <w:left w:val="single" w:color="auto" w:sz="4" w:space="0"/>
              <w:bottom w:val="single" w:color="auto" w:sz="6" w:space="0"/>
              <w:right w:val="nil"/>
            </w:tcBorders>
            <w:shd w:val="clear" w:color="auto" w:fill="FFFFFF"/>
            <w:vAlign w:val="center"/>
          </w:tcPr>
          <w:p>
            <w:pPr>
              <w:jc w:val="center"/>
              <w:rPr>
                <w:rFonts w:cs="宋体"/>
                <w:kern w:val="0"/>
                <w:szCs w:val="21"/>
              </w:rPr>
            </w:pPr>
            <w:r>
              <w:rPr>
                <w:rFonts w:hint="eastAsia" w:cs="宋体"/>
                <w:kern w:val="0"/>
                <w:szCs w:val="21"/>
              </w:rPr>
              <w:t>李文利</w:t>
            </w:r>
          </w:p>
        </w:tc>
        <w:tc>
          <w:tcPr>
            <w:tcW w:w="1360" w:type="dxa"/>
            <w:vMerge w:val="continue"/>
            <w:tcBorders>
              <w:left w:val="single" w:color="auto" w:sz="4" w:space="0"/>
              <w:right w:val="nil"/>
            </w:tcBorders>
            <w:shd w:val="clear" w:color="auto" w:fill="FFFFFF"/>
            <w:vAlign w:val="center"/>
          </w:tcPr>
          <w:p>
            <w:pPr>
              <w:widowControl/>
              <w:spacing w:line="400" w:lineRule="exact"/>
              <w:rPr>
                <w:color w:val="FF0000"/>
                <w:kern w:val="0"/>
                <w:szCs w:val="21"/>
              </w:rPr>
            </w:pPr>
          </w:p>
        </w:tc>
        <w:tc>
          <w:tcPr>
            <w:tcW w:w="3839" w:type="dxa"/>
            <w:vMerge w:val="continue"/>
            <w:tcBorders>
              <w:left w:val="single" w:color="auto" w:sz="4" w:space="0"/>
              <w:right w:val="single" w:color="auto" w:sz="4" w:space="0"/>
            </w:tcBorders>
            <w:shd w:val="clear" w:color="auto" w:fill="FFFFFF"/>
            <w:vAlign w:val="center"/>
          </w:tcPr>
          <w:p>
            <w:pPr>
              <w:widowControl/>
              <w:spacing w:line="400" w:lineRule="exact"/>
              <w:rPr>
                <w:color w:val="FF0000"/>
                <w:kern w:val="0"/>
                <w:szCs w:val="21"/>
              </w:rPr>
            </w:pPr>
          </w:p>
        </w:tc>
      </w:tr>
      <w:tr>
        <w:tblPrEx>
          <w:tblCellMar>
            <w:top w:w="0" w:type="dxa"/>
            <w:left w:w="108" w:type="dxa"/>
            <w:bottom w:w="0" w:type="dxa"/>
            <w:right w:w="108" w:type="dxa"/>
          </w:tblCellMar>
        </w:tblPrEx>
        <w:trPr>
          <w:trHeight w:val="1015" w:hRule="atLeast"/>
        </w:trPr>
        <w:tc>
          <w:tcPr>
            <w:tcW w:w="3610" w:type="dxa"/>
            <w:tcBorders>
              <w:top w:val="single" w:color="auto" w:sz="6" w:space="0"/>
              <w:left w:val="single" w:color="auto" w:sz="4" w:space="0"/>
              <w:bottom w:val="single" w:color="auto" w:sz="6" w:space="0"/>
              <w:right w:val="nil"/>
            </w:tcBorders>
            <w:shd w:val="clear" w:color="auto" w:fill="FFFFFF"/>
            <w:vAlign w:val="center"/>
          </w:tcPr>
          <w:p>
            <w:pPr>
              <w:jc w:val="left"/>
              <w:rPr>
                <w:rFonts w:cs="宋体"/>
                <w:kern w:val="0"/>
                <w:szCs w:val="21"/>
              </w:rPr>
            </w:pPr>
            <w:r>
              <w:rPr>
                <w:rFonts w:hint="eastAsia" w:cs="宋体"/>
                <w:kern w:val="0"/>
                <w:szCs w:val="21"/>
              </w:rPr>
              <w:t>05生物合成和代谢调控</w:t>
            </w:r>
          </w:p>
          <w:p>
            <w:pPr>
              <w:jc w:val="left"/>
              <w:rPr>
                <w:rFonts w:cs="宋体"/>
                <w:kern w:val="0"/>
                <w:szCs w:val="21"/>
              </w:rPr>
            </w:pPr>
            <w:r>
              <w:rPr>
                <w:rFonts w:hint="eastAsia" w:cs="宋体"/>
                <w:kern w:val="0"/>
                <w:szCs w:val="21"/>
              </w:rPr>
              <w:t>06海洋微生物活性代谢产物</w:t>
            </w:r>
          </w:p>
        </w:tc>
        <w:tc>
          <w:tcPr>
            <w:tcW w:w="1320" w:type="dxa"/>
            <w:tcBorders>
              <w:top w:val="single" w:color="auto" w:sz="6" w:space="0"/>
              <w:left w:val="single" w:color="auto" w:sz="4" w:space="0"/>
              <w:bottom w:val="single" w:color="auto" w:sz="6" w:space="0"/>
              <w:right w:val="nil"/>
            </w:tcBorders>
            <w:shd w:val="clear" w:color="auto" w:fill="FFFFFF"/>
            <w:vAlign w:val="center"/>
          </w:tcPr>
          <w:p>
            <w:pPr>
              <w:ind w:firstLine="105" w:firstLineChars="50"/>
              <w:jc w:val="center"/>
              <w:rPr>
                <w:rFonts w:cs="宋体"/>
                <w:kern w:val="0"/>
                <w:szCs w:val="21"/>
              </w:rPr>
            </w:pPr>
            <w:r>
              <w:rPr>
                <w:rFonts w:hint="eastAsia" w:cs="宋体"/>
                <w:kern w:val="0"/>
                <w:szCs w:val="21"/>
              </w:rPr>
              <w:t>李德海</w:t>
            </w:r>
          </w:p>
          <w:p>
            <w:pPr>
              <w:ind w:firstLine="105" w:firstLineChars="50"/>
              <w:jc w:val="center"/>
              <w:rPr>
                <w:rFonts w:cs="宋体"/>
                <w:kern w:val="0"/>
                <w:szCs w:val="21"/>
              </w:rPr>
            </w:pPr>
            <w:r>
              <w:rPr>
                <w:rFonts w:hint="eastAsia" w:cs="宋体"/>
                <w:kern w:val="0"/>
                <w:szCs w:val="21"/>
              </w:rPr>
              <w:t>朱天骄</w:t>
            </w:r>
          </w:p>
        </w:tc>
        <w:tc>
          <w:tcPr>
            <w:tcW w:w="1360" w:type="dxa"/>
            <w:vMerge w:val="continue"/>
            <w:tcBorders>
              <w:left w:val="single" w:color="auto" w:sz="4" w:space="0"/>
              <w:right w:val="nil"/>
            </w:tcBorders>
            <w:shd w:val="clear" w:color="auto" w:fill="FFFFFF"/>
            <w:vAlign w:val="center"/>
          </w:tcPr>
          <w:p>
            <w:pPr>
              <w:widowControl/>
              <w:spacing w:line="400" w:lineRule="exact"/>
              <w:rPr>
                <w:color w:val="FF0000"/>
                <w:kern w:val="0"/>
                <w:szCs w:val="21"/>
              </w:rPr>
            </w:pPr>
          </w:p>
        </w:tc>
        <w:tc>
          <w:tcPr>
            <w:tcW w:w="3839" w:type="dxa"/>
            <w:vMerge w:val="continue"/>
            <w:tcBorders>
              <w:left w:val="single" w:color="auto" w:sz="4" w:space="0"/>
              <w:right w:val="single" w:color="auto" w:sz="4" w:space="0"/>
            </w:tcBorders>
            <w:shd w:val="clear" w:color="auto" w:fill="FFFFFF"/>
            <w:vAlign w:val="center"/>
          </w:tcPr>
          <w:p>
            <w:pPr>
              <w:widowControl/>
              <w:spacing w:line="400" w:lineRule="exact"/>
              <w:rPr>
                <w:color w:val="FF0000"/>
                <w:kern w:val="0"/>
                <w:szCs w:val="21"/>
              </w:rPr>
            </w:pPr>
          </w:p>
        </w:tc>
      </w:tr>
      <w:tr>
        <w:tblPrEx>
          <w:tblCellMar>
            <w:top w:w="0" w:type="dxa"/>
            <w:left w:w="108" w:type="dxa"/>
            <w:bottom w:w="0" w:type="dxa"/>
            <w:right w:w="108" w:type="dxa"/>
          </w:tblCellMar>
        </w:tblPrEx>
        <w:trPr>
          <w:trHeight w:val="1015" w:hRule="atLeast"/>
        </w:trPr>
        <w:tc>
          <w:tcPr>
            <w:tcW w:w="3610" w:type="dxa"/>
            <w:tcBorders>
              <w:top w:val="single" w:color="auto" w:sz="6" w:space="0"/>
              <w:left w:val="single" w:color="auto" w:sz="4" w:space="0"/>
              <w:bottom w:val="single" w:color="auto" w:sz="6" w:space="0"/>
              <w:right w:val="nil"/>
            </w:tcBorders>
            <w:shd w:val="clear" w:color="auto" w:fill="FFFFFF"/>
            <w:vAlign w:val="center"/>
          </w:tcPr>
          <w:p>
            <w:pPr>
              <w:widowControl/>
              <w:spacing w:line="400" w:lineRule="exact"/>
              <w:jc w:val="left"/>
              <w:rPr>
                <w:kern w:val="0"/>
                <w:szCs w:val="21"/>
              </w:rPr>
            </w:pPr>
            <w:r>
              <w:rPr>
                <w:rFonts w:hint="eastAsia"/>
                <w:kern w:val="0"/>
                <w:szCs w:val="21"/>
              </w:rPr>
              <w:t>07微生物催化</w:t>
            </w:r>
          </w:p>
          <w:p>
            <w:pPr>
              <w:widowControl/>
              <w:spacing w:line="400" w:lineRule="exact"/>
              <w:jc w:val="left"/>
              <w:rPr>
                <w:kern w:val="0"/>
                <w:szCs w:val="21"/>
              </w:rPr>
            </w:pPr>
            <w:r>
              <w:rPr>
                <w:rFonts w:hint="eastAsia"/>
                <w:kern w:val="0"/>
                <w:szCs w:val="21"/>
              </w:rPr>
              <w:t>08功能糖链的生物合成</w:t>
            </w:r>
          </w:p>
        </w:tc>
        <w:tc>
          <w:tcPr>
            <w:tcW w:w="1320" w:type="dxa"/>
            <w:tcBorders>
              <w:top w:val="single" w:color="auto" w:sz="6" w:space="0"/>
              <w:left w:val="single" w:color="auto" w:sz="4" w:space="0"/>
              <w:bottom w:val="single" w:color="auto" w:sz="6" w:space="0"/>
              <w:right w:val="nil"/>
            </w:tcBorders>
            <w:shd w:val="clear" w:color="auto" w:fill="FFFFFF"/>
            <w:vAlign w:val="center"/>
          </w:tcPr>
          <w:p>
            <w:pPr>
              <w:widowControl/>
              <w:spacing w:line="400" w:lineRule="exact"/>
              <w:jc w:val="center"/>
              <w:rPr>
                <w:kern w:val="0"/>
                <w:szCs w:val="21"/>
              </w:rPr>
            </w:pPr>
            <w:r>
              <w:rPr>
                <w:rFonts w:hint="eastAsia"/>
                <w:kern w:val="0"/>
                <w:szCs w:val="21"/>
              </w:rPr>
              <w:t>曹鸿志</w:t>
            </w:r>
          </w:p>
        </w:tc>
        <w:tc>
          <w:tcPr>
            <w:tcW w:w="1360" w:type="dxa"/>
            <w:vMerge w:val="continue"/>
            <w:tcBorders>
              <w:left w:val="single" w:color="auto" w:sz="4" w:space="0"/>
              <w:bottom w:val="single" w:color="auto" w:sz="6" w:space="0"/>
              <w:right w:val="nil"/>
            </w:tcBorders>
            <w:shd w:val="clear" w:color="auto" w:fill="FFFFFF"/>
            <w:vAlign w:val="center"/>
          </w:tcPr>
          <w:p>
            <w:pPr>
              <w:widowControl/>
              <w:spacing w:line="400" w:lineRule="exact"/>
              <w:rPr>
                <w:color w:val="FF0000"/>
                <w:kern w:val="0"/>
                <w:szCs w:val="21"/>
              </w:rPr>
            </w:pPr>
          </w:p>
        </w:tc>
        <w:tc>
          <w:tcPr>
            <w:tcW w:w="3839" w:type="dxa"/>
            <w:vMerge w:val="continue"/>
            <w:tcBorders>
              <w:left w:val="single" w:color="auto" w:sz="4" w:space="0"/>
              <w:bottom w:val="single" w:color="auto" w:sz="6" w:space="0"/>
              <w:right w:val="single" w:color="auto" w:sz="4" w:space="0"/>
            </w:tcBorders>
            <w:shd w:val="clear" w:color="auto" w:fill="FFFFFF"/>
            <w:vAlign w:val="center"/>
          </w:tcPr>
          <w:p>
            <w:pPr>
              <w:widowControl/>
              <w:spacing w:line="400" w:lineRule="exact"/>
              <w:rPr>
                <w:color w:val="FF0000"/>
                <w:kern w:val="0"/>
                <w:szCs w:val="21"/>
              </w:rPr>
            </w:pPr>
          </w:p>
        </w:tc>
      </w:tr>
      <w:tr>
        <w:tblPrEx>
          <w:tblCellMar>
            <w:top w:w="0" w:type="dxa"/>
            <w:left w:w="108" w:type="dxa"/>
            <w:bottom w:w="0" w:type="dxa"/>
            <w:right w:w="108" w:type="dxa"/>
          </w:tblCellMar>
        </w:tblPrEx>
        <w:trPr>
          <w:trHeight w:val="1015" w:hRule="atLeast"/>
        </w:trPr>
        <w:tc>
          <w:tcPr>
            <w:tcW w:w="10129" w:type="dxa"/>
            <w:gridSpan w:val="4"/>
            <w:tcBorders>
              <w:top w:val="single" w:color="auto" w:sz="6" w:space="0"/>
              <w:left w:val="single" w:color="auto" w:sz="4" w:space="0"/>
              <w:bottom w:val="single" w:color="auto" w:sz="6" w:space="0"/>
              <w:right w:val="single" w:color="auto" w:sz="4" w:space="0"/>
            </w:tcBorders>
            <w:shd w:val="clear" w:color="auto" w:fill="FFFFFF"/>
            <w:vAlign w:val="center"/>
          </w:tcPr>
          <w:p>
            <w:pPr>
              <w:widowControl/>
              <w:spacing w:line="400" w:lineRule="exact"/>
              <w:rPr>
                <w:color w:val="FF0000"/>
                <w:kern w:val="0"/>
                <w:szCs w:val="21"/>
              </w:rPr>
            </w:pPr>
            <w:r>
              <w:rPr>
                <w:rFonts w:cs="宋体"/>
                <w:b/>
                <w:kern w:val="0"/>
                <w:szCs w:val="21"/>
              </w:rPr>
              <w:t xml:space="preserve">100706 </w:t>
            </w:r>
            <w:r>
              <w:rPr>
                <w:rFonts w:hint="eastAsia" w:cs="宋体"/>
                <w:b/>
                <w:kern w:val="0"/>
                <w:szCs w:val="21"/>
              </w:rPr>
              <w:t>药理学</w:t>
            </w:r>
          </w:p>
        </w:tc>
      </w:tr>
      <w:tr>
        <w:tblPrEx>
          <w:tblCellMar>
            <w:top w:w="0" w:type="dxa"/>
            <w:left w:w="108" w:type="dxa"/>
            <w:bottom w:w="0" w:type="dxa"/>
            <w:right w:w="108" w:type="dxa"/>
          </w:tblCellMar>
        </w:tblPrEx>
        <w:trPr>
          <w:trHeight w:val="1015" w:hRule="atLeast"/>
        </w:trPr>
        <w:tc>
          <w:tcPr>
            <w:tcW w:w="3610" w:type="dxa"/>
            <w:tcBorders>
              <w:top w:val="single" w:color="auto" w:sz="6" w:space="0"/>
              <w:left w:val="single" w:color="auto" w:sz="4" w:space="0"/>
              <w:bottom w:val="single" w:color="auto" w:sz="6" w:space="0"/>
              <w:right w:val="nil"/>
            </w:tcBorders>
            <w:shd w:val="clear" w:color="auto" w:fill="FFFFFF"/>
            <w:vAlign w:val="center"/>
          </w:tcPr>
          <w:p>
            <w:pPr>
              <w:rPr>
                <w:rFonts w:cs="宋体"/>
                <w:kern w:val="0"/>
                <w:szCs w:val="21"/>
              </w:rPr>
            </w:pPr>
            <w:r>
              <w:rPr>
                <w:rFonts w:cs="宋体"/>
                <w:kern w:val="0"/>
                <w:szCs w:val="21"/>
              </w:rPr>
              <w:t xml:space="preserve">01 </w:t>
            </w:r>
            <w:r>
              <w:rPr>
                <w:rFonts w:hint="eastAsia" w:cs="宋体"/>
                <w:kern w:val="0"/>
                <w:szCs w:val="21"/>
              </w:rPr>
              <w:t>肿瘤药理学</w:t>
            </w:r>
          </w:p>
        </w:tc>
        <w:tc>
          <w:tcPr>
            <w:tcW w:w="1320" w:type="dxa"/>
            <w:tcBorders>
              <w:top w:val="single" w:color="auto" w:sz="6" w:space="0"/>
              <w:left w:val="single" w:color="auto" w:sz="4" w:space="0"/>
              <w:bottom w:val="single" w:color="auto" w:sz="6" w:space="0"/>
              <w:right w:val="nil"/>
            </w:tcBorders>
            <w:shd w:val="clear" w:color="auto" w:fill="FFFFFF"/>
            <w:vAlign w:val="center"/>
          </w:tcPr>
          <w:p>
            <w:pPr>
              <w:ind w:firstLine="105" w:firstLineChars="50"/>
              <w:rPr>
                <w:rFonts w:cs="宋体"/>
                <w:kern w:val="0"/>
                <w:szCs w:val="21"/>
              </w:rPr>
            </w:pPr>
            <w:r>
              <w:rPr>
                <w:rFonts w:hint="eastAsia" w:cs="宋体"/>
                <w:kern w:val="0"/>
                <w:szCs w:val="21"/>
              </w:rPr>
              <w:t>李  静</w:t>
            </w:r>
          </w:p>
          <w:p>
            <w:pPr>
              <w:ind w:firstLine="105" w:firstLineChars="50"/>
              <w:rPr>
                <w:rFonts w:cs="宋体"/>
                <w:kern w:val="0"/>
                <w:szCs w:val="21"/>
              </w:rPr>
            </w:pPr>
            <w:r>
              <w:rPr>
                <w:rFonts w:hint="eastAsia" w:cs="宋体"/>
                <w:kern w:val="0"/>
                <w:szCs w:val="21"/>
              </w:rPr>
              <w:t>杨金波</w:t>
            </w:r>
          </w:p>
          <w:p>
            <w:pPr>
              <w:ind w:firstLine="105" w:firstLineChars="50"/>
              <w:rPr>
                <w:rFonts w:cs="宋体"/>
                <w:kern w:val="0"/>
                <w:szCs w:val="21"/>
              </w:rPr>
            </w:pPr>
            <w:r>
              <w:rPr>
                <w:rFonts w:hint="eastAsia" w:cs="宋体"/>
                <w:kern w:val="0"/>
                <w:szCs w:val="21"/>
              </w:rPr>
              <w:t>顾玉超</w:t>
            </w:r>
          </w:p>
          <w:p>
            <w:pPr>
              <w:ind w:firstLine="105" w:firstLineChars="50"/>
              <w:rPr>
                <w:rFonts w:cs="宋体"/>
                <w:kern w:val="0"/>
                <w:szCs w:val="21"/>
              </w:rPr>
            </w:pPr>
            <w:r>
              <w:rPr>
                <w:rFonts w:hint="eastAsia" w:cs="宋体"/>
                <w:kern w:val="0"/>
                <w:szCs w:val="21"/>
              </w:rPr>
              <w:t>王  鑫</w:t>
            </w:r>
          </w:p>
          <w:p>
            <w:pPr>
              <w:ind w:firstLine="105" w:firstLineChars="50"/>
              <w:rPr>
                <w:rFonts w:cs="宋体"/>
                <w:kern w:val="0"/>
                <w:szCs w:val="21"/>
              </w:rPr>
            </w:pPr>
            <w:r>
              <w:rPr>
                <w:rFonts w:hint="eastAsia" w:cs="宋体"/>
                <w:kern w:val="0"/>
                <w:szCs w:val="21"/>
              </w:rPr>
              <w:t>刘  明</w:t>
            </w:r>
          </w:p>
        </w:tc>
        <w:tc>
          <w:tcPr>
            <w:tcW w:w="1360" w:type="dxa"/>
            <w:vMerge w:val="restart"/>
            <w:tcBorders>
              <w:top w:val="single" w:color="auto" w:sz="6" w:space="0"/>
              <w:left w:val="single" w:color="auto" w:sz="4" w:space="0"/>
              <w:right w:val="nil"/>
            </w:tcBorders>
            <w:shd w:val="clear" w:color="auto" w:fill="FFFFFF"/>
            <w:vAlign w:val="center"/>
          </w:tcPr>
          <w:p>
            <w:pPr>
              <w:widowControl/>
              <w:spacing w:line="400" w:lineRule="exact"/>
              <w:ind w:firstLine="105" w:firstLineChars="50"/>
              <w:jc w:val="center"/>
              <w:rPr>
                <w:rFonts w:hint="eastAsia"/>
                <w:kern w:val="0"/>
                <w:szCs w:val="21"/>
                <w:lang w:val="en-US" w:eastAsia="zh-CN"/>
              </w:rPr>
            </w:pPr>
            <w:r>
              <w:rPr>
                <w:rFonts w:hint="eastAsia"/>
                <w:kern w:val="0"/>
                <w:szCs w:val="21"/>
                <w:lang w:val="en-US" w:eastAsia="zh-CN"/>
              </w:rPr>
              <w:t>6</w:t>
            </w:r>
          </w:p>
        </w:tc>
        <w:tc>
          <w:tcPr>
            <w:tcW w:w="3839" w:type="dxa"/>
            <w:vMerge w:val="restart"/>
            <w:tcBorders>
              <w:top w:val="single" w:color="auto" w:sz="6" w:space="0"/>
              <w:left w:val="single" w:color="auto" w:sz="4" w:space="0"/>
              <w:right w:val="single" w:color="auto" w:sz="4" w:space="0"/>
            </w:tcBorders>
            <w:shd w:val="clear" w:color="auto" w:fill="FFFFFF"/>
            <w:vAlign w:val="center"/>
          </w:tcPr>
          <w:p>
            <w:pPr>
              <w:widowControl/>
              <w:spacing w:line="400" w:lineRule="exact"/>
              <w:ind w:firstLine="105" w:firstLineChars="50"/>
              <w:jc w:val="center"/>
              <w:rPr>
                <w:rFonts w:hint="eastAsia"/>
                <w:kern w:val="0"/>
                <w:szCs w:val="21"/>
                <w:lang w:val="en-US" w:eastAsia="zh-CN"/>
              </w:rPr>
            </w:pPr>
            <w:r>
              <w:rPr>
                <w:rFonts w:hint="eastAsia"/>
                <w:kern w:val="0"/>
                <w:szCs w:val="21"/>
                <w:lang w:val="en-US" w:eastAsia="zh-CN"/>
              </w:rPr>
              <w:t>2235药理学或2265分子生物学</w:t>
            </w:r>
          </w:p>
        </w:tc>
      </w:tr>
      <w:tr>
        <w:tblPrEx>
          <w:tblCellMar>
            <w:top w:w="0" w:type="dxa"/>
            <w:left w:w="108" w:type="dxa"/>
            <w:bottom w:w="0" w:type="dxa"/>
            <w:right w:w="108" w:type="dxa"/>
          </w:tblCellMar>
        </w:tblPrEx>
        <w:trPr>
          <w:trHeight w:val="507" w:hRule="atLeast"/>
        </w:trPr>
        <w:tc>
          <w:tcPr>
            <w:tcW w:w="3610" w:type="dxa"/>
            <w:tcBorders>
              <w:top w:val="single" w:color="auto" w:sz="6" w:space="0"/>
              <w:left w:val="single" w:color="auto" w:sz="4" w:space="0"/>
              <w:bottom w:val="single" w:color="auto" w:sz="6" w:space="0"/>
              <w:right w:val="nil"/>
            </w:tcBorders>
            <w:shd w:val="clear" w:color="auto" w:fill="FFFFFF"/>
            <w:vAlign w:val="center"/>
          </w:tcPr>
          <w:p>
            <w:pPr>
              <w:rPr>
                <w:rFonts w:cs="宋体"/>
                <w:kern w:val="0"/>
                <w:szCs w:val="21"/>
              </w:rPr>
            </w:pPr>
            <w:r>
              <w:rPr>
                <w:rFonts w:hint="eastAsia" w:cs="宋体"/>
                <w:kern w:val="0"/>
                <w:szCs w:val="21"/>
              </w:rPr>
              <w:t>02肿瘤免疫学</w:t>
            </w:r>
          </w:p>
        </w:tc>
        <w:tc>
          <w:tcPr>
            <w:tcW w:w="1320" w:type="dxa"/>
            <w:tcBorders>
              <w:top w:val="single" w:color="auto" w:sz="6" w:space="0"/>
              <w:left w:val="single" w:color="auto" w:sz="4" w:space="0"/>
              <w:bottom w:val="single" w:color="auto" w:sz="6" w:space="0"/>
              <w:right w:val="nil"/>
            </w:tcBorders>
            <w:shd w:val="clear" w:color="auto" w:fill="FFFFFF"/>
            <w:vAlign w:val="center"/>
          </w:tcPr>
          <w:p>
            <w:pPr>
              <w:ind w:firstLine="105" w:firstLineChars="50"/>
              <w:rPr>
                <w:rFonts w:cs="宋体"/>
                <w:kern w:val="0"/>
                <w:szCs w:val="21"/>
              </w:rPr>
            </w:pPr>
            <w:r>
              <w:rPr>
                <w:rFonts w:hint="eastAsia" w:cs="宋体"/>
                <w:kern w:val="0"/>
                <w:szCs w:val="21"/>
              </w:rPr>
              <w:t>杨金波</w:t>
            </w:r>
          </w:p>
        </w:tc>
        <w:tc>
          <w:tcPr>
            <w:tcW w:w="1360" w:type="dxa"/>
            <w:vMerge w:val="continue"/>
            <w:tcBorders>
              <w:left w:val="single" w:color="auto" w:sz="4" w:space="0"/>
              <w:right w:val="nil"/>
            </w:tcBorders>
            <w:shd w:val="clear" w:color="auto" w:fill="FFFFFF"/>
            <w:vAlign w:val="center"/>
          </w:tcPr>
          <w:p>
            <w:pPr>
              <w:widowControl/>
              <w:spacing w:line="400" w:lineRule="exact"/>
              <w:rPr>
                <w:color w:val="FF0000"/>
                <w:kern w:val="0"/>
                <w:szCs w:val="21"/>
              </w:rPr>
            </w:pPr>
          </w:p>
        </w:tc>
        <w:tc>
          <w:tcPr>
            <w:tcW w:w="3839" w:type="dxa"/>
            <w:vMerge w:val="continue"/>
            <w:tcBorders>
              <w:left w:val="single" w:color="auto" w:sz="4" w:space="0"/>
              <w:right w:val="single" w:color="auto" w:sz="4" w:space="0"/>
            </w:tcBorders>
            <w:shd w:val="clear" w:color="auto" w:fill="FFFFFF"/>
            <w:vAlign w:val="center"/>
          </w:tcPr>
          <w:p>
            <w:pPr>
              <w:widowControl/>
              <w:spacing w:line="400" w:lineRule="exact"/>
              <w:rPr>
                <w:color w:val="FF0000"/>
                <w:kern w:val="0"/>
                <w:szCs w:val="21"/>
              </w:rPr>
            </w:pPr>
          </w:p>
        </w:tc>
      </w:tr>
      <w:tr>
        <w:tblPrEx>
          <w:tblCellMar>
            <w:top w:w="0" w:type="dxa"/>
            <w:left w:w="108" w:type="dxa"/>
            <w:bottom w:w="0" w:type="dxa"/>
            <w:right w:w="108" w:type="dxa"/>
          </w:tblCellMar>
        </w:tblPrEx>
        <w:trPr>
          <w:trHeight w:val="525" w:hRule="atLeast"/>
        </w:trPr>
        <w:tc>
          <w:tcPr>
            <w:tcW w:w="3610" w:type="dxa"/>
            <w:tcBorders>
              <w:top w:val="single" w:color="auto" w:sz="6" w:space="0"/>
              <w:left w:val="single" w:color="auto" w:sz="4" w:space="0"/>
              <w:bottom w:val="single" w:color="auto" w:sz="6" w:space="0"/>
              <w:right w:val="nil"/>
            </w:tcBorders>
            <w:shd w:val="clear" w:color="auto" w:fill="FFFFFF"/>
            <w:vAlign w:val="center"/>
          </w:tcPr>
          <w:p>
            <w:pPr>
              <w:spacing w:line="240" w:lineRule="exact"/>
              <w:rPr>
                <w:rFonts w:cs="宋体"/>
                <w:kern w:val="0"/>
                <w:szCs w:val="21"/>
              </w:rPr>
            </w:pPr>
            <w:r>
              <w:rPr>
                <w:rFonts w:hint="eastAsia" w:cs="宋体"/>
                <w:kern w:val="0"/>
                <w:szCs w:val="21"/>
              </w:rPr>
              <w:t>03病毒学</w:t>
            </w:r>
          </w:p>
        </w:tc>
        <w:tc>
          <w:tcPr>
            <w:tcW w:w="1320" w:type="dxa"/>
            <w:tcBorders>
              <w:top w:val="single" w:color="auto" w:sz="6" w:space="0"/>
              <w:left w:val="single" w:color="auto" w:sz="4" w:space="0"/>
              <w:bottom w:val="single" w:color="auto" w:sz="6" w:space="0"/>
              <w:right w:val="nil"/>
            </w:tcBorders>
            <w:shd w:val="clear" w:color="auto" w:fill="FFFFFF"/>
            <w:vAlign w:val="center"/>
          </w:tcPr>
          <w:p>
            <w:pPr>
              <w:widowControl/>
              <w:spacing w:line="400" w:lineRule="exact"/>
              <w:ind w:firstLine="105" w:firstLineChars="50"/>
              <w:rPr>
                <w:kern w:val="0"/>
                <w:szCs w:val="21"/>
              </w:rPr>
            </w:pPr>
            <w:r>
              <w:rPr>
                <w:rFonts w:hint="eastAsia"/>
                <w:kern w:val="0"/>
                <w:szCs w:val="21"/>
              </w:rPr>
              <w:t>王  鑫</w:t>
            </w:r>
          </w:p>
        </w:tc>
        <w:tc>
          <w:tcPr>
            <w:tcW w:w="1360" w:type="dxa"/>
            <w:vMerge w:val="continue"/>
            <w:tcBorders>
              <w:left w:val="single" w:color="auto" w:sz="4" w:space="0"/>
              <w:bottom w:val="single" w:color="auto" w:sz="6" w:space="0"/>
              <w:right w:val="nil"/>
            </w:tcBorders>
            <w:shd w:val="clear" w:color="auto" w:fill="FFFFFF"/>
            <w:vAlign w:val="center"/>
          </w:tcPr>
          <w:p>
            <w:pPr>
              <w:widowControl/>
              <w:spacing w:line="400" w:lineRule="exact"/>
              <w:rPr>
                <w:color w:val="FF0000"/>
                <w:kern w:val="0"/>
                <w:szCs w:val="21"/>
              </w:rPr>
            </w:pPr>
          </w:p>
        </w:tc>
        <w:tc>
          <w:tcPr>
            <w:tcW w:w="3839" w:type="dxa"/>
            <w:vMerge w:val="continue"/>
            <w:tcBorders>
              <w:left w:val="single" w:color="auto" w:sz="4" w:space="0"/>
              <w:bottom w:val="single" w:color="auto" w:sz="6" w:space="0"/>
              <w:right w:val="single" w:color="auto" w:sz="4" w:space="0"/>
            </w:tcBorders>
            <w:shd w:val="clear" w:color="auto" w:fill="FFFFFF"/>
            <w:vAlign w:val="center"/>
          </w:tcPr>
          <w:p>
            <w:pPr>
              <w:widowControl/>
              <w:spacing w:line="400" w:lineRule="exact"/>
              <w:rPr>
                <w:color w:val="FF0000"/>
                <w:kern w:val="0"/>
                <w:szCs w:val="21"/>
              </w:rPr>
            </w:pPr>
          </w:p>
        </w:tc>
      </w:tr>
      <w:tr>
        <w:tblPrEx>
          <w:tblCellMar>
            <w:top w:w="0" w:type="dxa"/>
            <w:left w:w="108" w:type="dxa"/>
            <w:bottom w:w="0" w:type="dxa"/>
            <w:right w:w="108" w:type="dxa"/>
          </w:tblCellMar>
        </w:tblPrEx>
        <w:trPr>
          <w:trHeight w:val="464" w:hRule="atLeast"/>
        </w:trPr>
        <w:tc>
          <w:tcPr>
            <w:tcW w:w="10129" w:type="dxa"/>
            <w:gridSpan w:val="4"/>
            <w:tcBorders>
              <w:top w:val="single" w:color="auto" w:sz="6" w:space="0"/>
              <w:left w:val="single" w:color="auto" w:sz="4" w:space="0"/>
              <w:bottom w:val="single" w:color="auto" w:sz="6" w:space="0"/>
              <w:right w:val="single" w:color="auto" w:sz="4" w:space="0"/>
            </w:tcBorders>
            <w:shd w:val="clear" w:color="auto" w:fill="FFFFFF"/>
            <w:vAlign w:val="center"/>
          </w:tcPr>
          <w:p>
            <w:pPr>
              <w:widowControl/>
              <w:spacing w:line="400" w:lineRule="exact"/>
              <w:rPr>
                <w:color w:val="FF0000"/>
                <w:kern w:val="0"/>
                <w:szCs w:val="21"/>
              </w:rPr>
            </w:pPr>
            <w:r>
              <w:rPr>
                <w:rFonts w:hint="eastAsia" w:ascii="宋体" w:hAnsi="宋体" w:cs="宋体"/>
                <w:b/>
                <w:bCs/>
                <w:szCs w:val="21"/>
              </w:rPr>
              <w:t>注：加※者为校外博导。各专业均不招收同等学力考生。</w:t>
            </w:r>
            <w:r>
              <w:rPr>
                <w:rFonts w:ascii="宋体" w:hAnsi="宋体" w:cs="宋体"/>
                <w:b/>
                <w:bCs/>
                <w:szCs w:val="21"/>
              </w:rPr>
              <w:t>各专业招生人数根据实际情况进行调整。</w:t>
            </w:r>
            <w:r>
              <w:rPr>
                <w:rFonts w:hint="eastAsia" w:ascii="宋体" w:hAnsi="宋体" w:cs="宋体"/>
                <w:b/>
                <w:bCs/>
                <w:szCs w:val="21"/>
              </w:rPr>
              <w:t>未达到 “申请-考核”制外国语条件的考生，须参加学校组织的外国语（1001英语）考试且成绩达到学校要求。</w:t>
            </w:r>
          </w:p>
        </w:tc>
      </w:tr>
    </w:tbl>
    <w:p>
      <w:pPr>
        <w:pStyle w:val="7"/>
        <w:spacing w:before="156" w:beforeLines="50" w:line="400" w:lineRule="exact"/>
        <w:ind w:left="0" w:leftChars="0" w:firstLine="562" w:firstLineChars="200"/>
        <w:rPr>
          <w:rFonts w:hint="eastAsia" w:ascii="宋体" w:hAnsi="宋体" w:eastAsia="宋体" w:cs="宋体"/>
          <w:b/>
          <w:bCs/>
        </w:rPr>
      </w:pPr>
    </w:p>
    <w:p>
      <w:pPr>
        <w:pStyle w:val="7"/>
        <w:spacing w:before="156" w:beforeLines="50" w:line="400" w:lineRule="exact"/>
        <w:ind w:left="0" w:leftChars="0" w:firstLine="562" w:firstLineChars="200"/>
        <w:rPr>
          <w:rFonts w:ascii="宋体" w:hAnsi="宋体" w:eastAsia="宋体" w:cs="宋体"/>
          <w:b/>
          <w:bCs/>
        </w:rPr>
      </w:pPr>
      <w:r>
        <w:rPr>
          <w:rFonts w:hint="eastAsia" w:ascii="宋体" w:hAnsi="宋体" w:eastAsia="宋体" w:cs="宋体"/>
          <w:b/>
          <w:bCs/>
        </w:rPr>
        <w:t>三、综合考核方式与内容</w:t>
      </w:r>
    </w:p>
    <w:p>
      <w:pPr>
        <w:keepNext w:val="0"/>
        <w:keepLines w:val="0"/>
        <w:pageBreakBefore w:val="0"/>
        <w:kinsoku/>
        <w:wordWrap/>
        <w:overflowPunct/>
        <w:topLinePunct w:val="0"/>
        <w:autoSpaceDE/>
        <w:autoSpaceDN/>
        <w:bidi w:val="0"/>
        <w:adjustRightInd/>
        <w:snapToGrid/>
        <w:spacing w:line="400" w:lineRule="exact"/>
        <w:ind w:firstLine="317" w:firstLineChars="151"/>
        <w:textAlignment w:val="auto"/>
      </w:pPr>
      <w:r>
        <w:rPr>
          <w:rFonts w:hint="eastAsia"/>
        </w:rPr>
        <w:t>（一）专业基础知识笔试</w:t>
      </w:r>
    </w:p>
    <w:p>
      <w:pPr>
        <w:keepNext w:val="0"/>
        <w:keepLines w:val="0"/>
        <w:pageBreakBefore w:val="0"/>
        <w:widowControl/>
        <w:kinsoku/>
        <w:wordWrap/>
        <w:overflowPunct/>
        <w:topLinePunct w:val="0"/>
        <w:autoSpaceDE/>
        <w:autoSpaceDN/>
        <w:bidi w:val="0"/>
        <w:adjustRightInd/>
        <w:snapToGrid/>
        <w:spacing w:line="400" w:lineRule="exact"/>
        <w:ind w:firstLine="317" w:firstLineChars="151"/>
        <w:jc w:val="left"/>
        <w:textAlignment w:val="auto"/>
      </w:pPr>
      <w:r>
        <w:rPr>
          <w:rFonts w:hint="eastAsia"/>
        </w:rPr>
        <w:t>（二）面试</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szCs w:val="21"/>
        </w:rPr>
      </w:pPr>
      <w:r>
        <w:rPr>
          <w:szCs w:val="21"/>
        </w:rPr>
        <w:t>包括业务考核、外国语考核等内容。</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szCs w:val="21"/>
        </w:rPr>
      </w:pPr>
      <w:r>
        <w:rPr>
          <w:szCs w:val="21"/>
        </w:rPr>
        <w:t>1.业务考核主要考察考生综合运用所学知识的能力，本学科前沿及最新研究动态掌握情况以及是否具备博士生培养的潜能和综合素质。每位考生需准备10分钟左右的PPT汇报（包括个人学习与工作经历介绍、公开发表的文章与取得的科研成果、对所报考学科专业的认识以及今后的研究设想等）</w:t>
      </w:r>
      <w:r>
        <w:rPr>
          <w:rFonts w:hint="eastAsia"/>
          <w:szCs w:val="21"/>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szCs w:val="21"/>
        </w:rPr>
      </w:pPr>
      <w:r>
        <w:rPr>
          <w:rFonts w:hint="eastAsia"/>
          <w:szCs w:val="21"/>
        </w:rPr>
        <w:t>2.</w:t>
      </w:r>
      <w:r>
        <w:rPr>
          <w:szCs w:val="21"/>
        </w:rPr>
        <w:t>外国语考核主要考察考生是否达到本专业的外语要求，包括听力和口语测试。</w:t>
      </w:r>
      <w:r>
        <w:rPr>
          <w:color w:val="FF0000"/>
          <w:szCs w:val="21"/>
        </w:rPr>
        <w:t xml:space="preserve"> </w:t>
      </w:r>
    </w:p>
    <w:p>
      <w:pPr>
        <w:pStyle w:val="7"/>
        <w:spacing w:before="156" w:beforeLines="50" w:line="400" w:lineRule="exact"/>
        <w:ind w:left="0" w:leftChars="0" w:firstLine="562" w:firstLineChars="200"/>
        <w:rPr>
          <w:rFonts w:hint="eastAsia" w:ascii="宋体" w:hAnsi="宋体" w:eastAsia="宋体" w:cs="宋体"/>
          <w:b/>
          <w:bCs/>
        </w:rPr>
      </w:pPr>
    </w:p>
    <w:p>
      <w:pPr>
        <w:pStyle w:val="7"/>
        <w:spacing w:before="156" w:beforeLines="50" w:line="400" w:lineRule="exact"/>
        <w:ind w:left="0" w:leftChars="0" w:firstLine="562" w:firstLineChars="200"/>
        <w:rPr>
          <w:rFonts w:ascii="宋体" w:hAnsi="宋体" w:eastAsia="宋体" w:cs="宋体"/>
          <w:b/>
          <w:bCs/>
        </w:rPr>
      </w:pPr>
      <w:r>
        <w:rPr>
          <w:rFonts w:hint="eastAsia" w:ascii="宋体" w:hAnsi="宋体" w:eastAsia="宋体" w:cs="宋体"/>
          <w:b/>
          <w:bCs/>
        </w:rPr>
        <w:t>四、综合考核总成绩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综合考核</w:t>
      </w:r>
      <w:r>
        <w:rPr>
          <w:rFonts w:ascii="宋体" w:hAnsi="宋体"/>
        </w:rPr>
        <w:t>总成绩根据</w:t>
      </w:r>
      <w:r>
        <w:rPr>
          <w:rFonts w:hint="eastAsia" w:ascii="宋体" w:hAnsi="宋体"/>
        </w:rPr>
        <w:t>专业基础知识笔试成绩</w:t>
      </w:r>
      <w:r>
        <w:rPr>
          <w:rFonts w:ascii="宋体" w:hAnsi="宋体"/>
        </w:rPr>
        <w:t>和面试成绩计算得出</w:t>
      </w:r>
      <w:r>
        <w:rPr>
          <w:rFonts w:hint="eastAsia" w:ascii="宋体" w:hAnsi="宋体"/>
        </w:rPr>
        <w:t>，</w:t>
      </w:r>
      <w:r>
        <w:rPr>
          <w:rFonts w:ascii="宋体" w:hAnsi="宋体"/>
        </w:rPr>
        <w:t>总成绩及任一项成绩出现60分以下者，不予录取。</w:t>
      </w:r>
    </w:p>
    <w:p>
      <w:pPr>
        <w:keepNext w:val="0"/>
        <w:keepLines w:val="0"/>
        <w:pageBreakBefore w:val="0"/>
        <w:widowControl w:val="0"/>
        <w:kinsoku/>
        <w:wordWrap/>
        <w:overflowPunct/>
        <w:topLinePunct w:val="0"/>
        <w:autoSpaceDE/>
        <w:autoSpaceDN/>
        <w:bidi w:val="0"/>
        <w:adjustRightInd/>
        <w:snapToGrid/>
        <w:spacing w:line="400" w:lineRule="exact"/>
        <w:ind w:firstLine="464" w:firstLineChars="221"/>
        <w:textAlignment w:val="auto"/>
        <w:rPr>
          <w:rFonts w:ascii="宋体" w:hAnsi="宋体"/>
        </w:rPr>
      </w:pPr>
      <w:r>
        <w:rPr>
          <w:rFonts w:hint="eastAsia" w:ascii="宋体" w:hAnsi="宋体"/>
        </w:rPr>
        <w:t>面试成绩=业务考核成绩×80%+外国语考核成绩×20%（面试成绩、业务考核成绩和外国语考核成绩均采取满分百分制）。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rPr>
      </w:pPr>
      <w:r>
        <w:rPr>
          <w:rFonts w:hint="eastAsia" w:ascii="宋体" w:hAnsi="宋体"/>
        </w:rPr>
        <w:t>综合考核总成绩=专业基础知识笔试成绩×30%+面试成绩×70%。</w:t>
      </w:r>
    </w:p>
    <w:p>
      <w:pPr>
        <w:spacing w:line="440" w:lineRule="exact"/>
        <w:ind w:firstLine="420" w:firstLineChars="200"/>
        <w:rPr>
          <w:rFonts w:hint="eastAsia" w:ascii="宋体" w:hAnsi="宋体"/>
        </w:rPr>
      </w:pPr>
      <w:r>
        <w:rPr>
          <w:rFonts w:hint="eastAsia" w:ascii="宋体" w:hAnsi="宋体"/>
        </w:rPr>
        <w:t>根据招生导师的招生名额，</w:t>
      </w:r>
      <w:r>
        <w:rPr>
          <w:rFonts w:ascii="宋体" w:hAnsi="宋体"/>
        </w:rPr>
        <w:t>按</w:t>
      </w:r>
      <w:r>
        <w:rPr>
          <w:rFonts w:hint="eastAsia"/>
          <w:szCs w:val="21"/>
        </w:rPr>
        <w:t>综合考核总成绩</w:t>
      </w:r>
      <w:r>
        <w:rPr>
          <w:rFonts w:ascii="宋体" w:hAnsi="宋体"/>
        </w:rPr>
        <w:t>从高分到低分顺序录取。</w:t>
      </w:r>
    </w:p>
    <w:p>
      <w:pPr>
        <w:pStyle w:val="7"/>
        <w:spacing w:before="156" w:beforeLines="50" w:line="400" w:lineRule="exact"/>
        <w:ind w:left="0" w:leftChars="0" w:firstLine="562" w:firstLineChars="200"/>
        <w:rPr>
          <w:rFonts w:hint="eastAsia" w:ascii="宋体" w:hAnsi="宋体" w:eastAsia="宋体" w:cs="宋体"/>
          <w:b/>
          <w:bCs/>
        </w:rPr>
      </w:pPr>
    </w:p>
    <w:p>
      <w:pPr>
        <w:pStyle w:val="7"/>
        <w:spacing w:before="156" w:beforeLines="50" w:line="400" w:lineRule="exact"/>
        <w:ind w:left="0" w:leftChars="0" w:firstLine="562" w:firstLineChars="200"/>
        <w:rPr>
          <w:rFonts w:hint="eastAsia" w:ascii="宋体" w:hAnsi="宋体" w:eastAsia="宋体" w:cs="宋体"/>
          <w:b/>
          <w:bCs/>
        </w:rPr>
      </w:pPr>
    </w:p>
    <w:p>
      <w:pPr>
        <w:pStyle w:val="7"/>
        <w:spacing w:before="156" w:beforeLines="50" w:line="400" w:lineRule="exact"/>
        <w:ind w:left="0" w:leftChars="0" w:firstLine="562" w:firstLineChars="200"/>
        <w:rPr>
          <w:rFonts w:ascii="宋体" w:hAnsi="宋体" w:eastAsia="宋体" w:cs="宋体"/>
          <w:b/>
          <w:bCs/>
        </w:rPr>
      </w:pPr>
      <w:r>
        <w:rPr>
          <w:rFonts w:hint="eastAsia" w:ascii="宋体" w:hAnsi="宋体" w:eastAsia="宋体" w:cs="宋体"/>
          <w:b/>
          <w:bCs/>
        </w:rPr>
        <w:t>五、参考书目</w:t>
      </w:r>
    </w:p>
    <w:tbl>
      <w:tblPr>
        <w:tblStyle w:val="13"/>
        <w:tblW w:w="96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159"/>
        <w:gridCol w:w="6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b/>
                <w:szCs w:val="21"/>
              </w:rPr>
            </w:pPr>
            <w:r>
              <w:rPr>
                <w:b/>
                <w:szCs w:val="21"/>
              </w:rPr>
              <w:t>科目代码</w:t>
            </w:r>
          </w:p>
        </w:tc>
        <w:tc>
          <w:tcPr>
            <w:tcW w:w="215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b/>
                <w:szCs w:val="21"/>
              </w:rPr>
            </w:pPr>
            <w:r>
              <w:rPr>
                <w:b/>
                <w:szCs w:val="21"/>
              </w:rPr>
              <w:t>科目名称</w:t>
            </w:r>
          </w:p>
        </w:tc>
        <w:tc>
          <w:tcPr>
            <w:tcW w:w="6342"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b/>
                <w:szCs w:val="21"/>
              </w:rPr>
            </w:pPr>
            <w:r>
              <w:rPr>
                <w:b/>
                <w:szCs w:val="21"/>
              </w:rPr>
              <w:t>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2229</w:t>
            </w:r>
          </w:p>
        </w:tc>
        <w:tc>
          <w:tcPr>
            <w:tcW w:w="215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315" w:firstLineChars="150"/>
              <w:jc w:val="center"/>
              <w:rPr>
                <w:rFonts w:ascii="宋体" w:hAnsi="Times New Roman" w:eastAsia="宋体" w:cs="宋体"/>
                <w:kern w:val="0"/>
                <w:sz w:val="21"/>
                <w:szCs w:val="21"/>
                <w:lang w:val="en-US" w:eastAsia="zh-CN" w:bidi="ar-SA"/>
              </w:rPr>
            </w:pPr>
            <w:r>
              <w:rPr>
                <w:rFonts w:hint="eastAsia" w:ascii="宋体" w:cs="宋体"/>
                <w:kern w:val="0"/>
                <w:szCs w:val="21"/>
              </w:rPr>
              <w:t>高等药物化学</w:t>
            </w:r>
          </w:p>
        </w:tc>
        <w:tc>
          <w:tcPr>
            <w:tcW w:w="6342" w:type="dxa"/>
            <w:vAlign w:val="top"/>
          </w:tcPr>
          <w:p>
            <w:pPr>
              <w:spacing w:line="400" w:lineRule="exact"/>
              <w:rPr>
                <w:rFonts w:ascii="宋体" w:hAnsi="Times New Roman" w:eastAsia="宋体" w:cs="宋体"/>
                <w:kern w:val="0"/>
                <w:sz w:val="21"/>
                <w:szCs w:val="21"/>
                <w:lang w:val="en-US" w:eastAsia="zh-CN" w:bidi="ar-SA"/>
              </w:rPr>
            </w:pPr>
            <w:r>
              <w:rPr>
                <w:rFonts w:hint="eastAsia" w:ascii="宋体"/>
                <w:szCs w:val="21"/>
              </w:rPr>
              <w:t>《高等药物化学》，化学工业出版社，白东鲁、陈凯先主编第</w:t>
            </w:r>
            <w:r>
              <w:rPr>
                <w:rFonts w:ascii="宋体"/>
                <w:szCs w:val="21"/>
              </w:rPr>
              <w:t>1</w:t>
            </w:r>
            <w:r>
              <w:rPr>
                <w:rFonts w:hint="eastAsia" w:ascii="宋体"/>
                <w:szCs w:val="21"/>
              </w:rPr>
              <w:t>版</w:t>
            </w:r>
            <w:r>
              <w:rPr>
                <w:rFonts w:ascii="宋体"/>
                <w:szCs w:val="21"/>
              </w:rPr>
              <w:t xml:space="preserve"> (2011</w:t>
            </w:r>
            <w:r>
              <w:rPr>
                <w:rFonts w:hint="eastAsia" w:ascii="宋体"/>
                <w:szCs w:val="21"/>
              </w:rPr>
              <w:t>年</w:t>
            </w:r>
            <w:r>
              <w:rPr>
                <w:rFonts w:ascii="宋体"/>
                <w:szCs w:val="21"/>
              </w:rPr>
              <w:t>11</w:t>
            </w:r>
            <w:r>
              <w:rPr>
                <w:rFonts w:hint="eastAsia" w:ascii="宋体"/>
                <w:szCs w:val="21"/>
              </w:rPr>
              <w:t>月</w:t>
            </w:r>
            <w:r>
              <w:rPr>
                <w:rFonts w:ascii="宋体"/>
                <w:szCs w:val="21"/>
              </w:rPr>
              <w:t>1</w:t>
            </w:r>
            <w:r>
              <w:rPr>
                <w:rFonts w:hint="eastAsia" w:ascii="宋体"/>
                <w:szCs w:val="21"/>
              </w:rPr>
              <w:t>日</w:t>
            </w:r>
            <w:r>
              <w:rPr>
                <w:rFonts w:asci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2230</w:t>
            </w:r>
          </w:p>
        </w:tc>
        <w:tc>
          <w:tcPr>
            <w:tcW w:w="2159" w:type="dxa"/>
            <w:vAlign w:val="center"/>
          </w:tcPr>
          <w:p>
            <w:pPr>
              <w:jc w:val="center"/>
              <w:rPr>
                <w:rFonts w:hint="eastAsia" w:ascii="宋体" w:hAnsi="Times New Roman" w:eastAsia="宋体" w:cs="宋体"/>
                <w:kern w:val="0"/>
                <w:sz w:val="21"/>
                <w:szCs w:val="21"/>
                <w:lang w:val="en-US" w:eastAsia="zh-CN" w:bidi="ar-SA"/>
              </w:rPr>
            </w:pPr>
            <w:r>
              <w:rPr>
                <w:rFonts w:hint="eastAsia" w:ascii="宋体" w:cs="宋体"/>
                <w:kern w:val="0"/>
                <w:szCs w:val="21"/>
              </w:rPr>
              <w:t>高等有机化学</w:t>
            </w:r>
          </w:p>
        </w:tc>
        <w:tc>
          <w:tcPr>
            <w:tcW w:w="6342" w:type="dxa"/>
            <w:vAlign w:val="center"/>
          </w:tcPr>
          <w:p>
            <w:pPr>
              <w:rPr>
                <w:rFonts w:ascii="宋体" w:cs="宋体"/>
                <w:kern w:val="0"/>
                <w:szCs w:val="21"/>
              </w:rPr>
            </w:pPr>
            <w:r>
              <w:rPr>
                <w:rFonts w:hint="eastAsia" w:ascii="宋体" w:cs="宋体"/>
                <w:kern w:val="0"/>
                <w:szCs w:val="21"/>
              </w:rPr>
              <w:t>1</w:t>
            </w:r>
            <w:r>
              <w:rPr>
                <w:rFonts w:hint="eastAsia" w:ascii="宋体" w:cs="宋体"/>
                <w:kern w:val="0"/>
                <w:szCs w:val="21"/>
                <w:lang w:val="en-US" w:eastAsia="zh-CN"/>
              </w:rPr>
              <w:t>.</w:t>
            </w:r>
            <w:r>
              <w:rPr>
                <w:rFonts w:hint="eastAsia" w:ascii="宋体" w:cs="宋体"/>
                <w:kern w:val="0"/>
                <w:szCs w:val="21"/>
              </w:rPr>
              <w:t>《高等有机化学》 魏荣宝 主编 高等教育出版</w:t>
            </w:r>
          </w:p>
          <w:p>
            <w:pPr>
              <w:rPr>
                <w:rFonts w:hint="eastAsia" w:ascii="宋体" w:hAnsi="Times New Roman" w:eastAsia="宋体" w:cs="宋体"/>
                <w:kern w:val="0"/>
                <w:sz w:val="21"/>
                <w:szCs w:val="21"/>
                <w:lang w:val="en-US" w:eastAsia="zh-CN" w:bidi="ar-SA"/>
              </w:rPr>
            </w:pPr>
            <w:r>
              <w:rPr>
                <w:rFonts w:hint="eastAsia" w:ascii="宋体" w:cs="宋体"/>
                <w:kern w:val="0"/>
                <w:szCs w:val="21"/>
              </w:rPr>
              <w:t>2</w:t>
            </w:r>
            <w:r>
              <w:rPr>
                <w:rFonts w:hint="eastAsia" w:ascii="宋体" w:cs="宋体"/>
                <w:kern w:val="0"/>
                <w:szCs w:val="21"/>
                <w:lang w:eastAsia="zh-CN"/>
              </w:rPr>
              <w:t>.</w:t>
            </w:r>
            <w:r>
              <w:rPr>
                <w:rFonts w:hint="eastAsia" w:ascii="宋体" w:cs="宋体"/>
                <w:kern w:val="0"/>
                <w:szCs w:val="21"/>
              </w:rPr>
              <w:t xml:space="preserve">《高等有机化学基础》 荣国斌 主编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118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default" w:eastAsia="宋体"/>
                <w:szCs w:val="21"/>
                <w:lang w:val="en-US" w:eastAsia="zh-CN"/>
              </w:rPr>
            </w:pPr>
            <w:r>
              <w:rPr>
                <w:rFonts w:hint="eastAsia"/>
                <w:szCs w:val="21"/>
                <w:lang w:val="en-US" w:eastAsia="zh-CN"/>
              </w:rPr>
              <w:t>2231</w:t>
            </w:r>
          </w:p>
        </w:tc>
        <w:tc>
          <w:tcPr>
            <w:tcW w:w="2159" w:type="dxa"/>
            <w:vAlign w:val="center"/>
          </w:tcPr>
          <w:p>
            <w:pPr>
              <w:ind w:firstLine="630" w:firstLineChars="300"/>
              <w:jc w:val="both"/>
              <w:rPr>
                <w:rFonts w:ascii="Arial" w:hAnsi="Arial" w:cs="Arial"/>
                <w:szCs w:val="21"/>
                <w:shd w:val="clear" w:color="auto" w:fill="FFFFFF"/>
              </w:rPr>
            </w:pPr>
            <w:r>
              <w:rPr>
                <w:rFonts w:hint="eastAsia" w:ascii="Arial" w:hAnsi="Arial" w:cs="Arial"/>
                <w:szCs w:val="21"/>
                <w:shd w:val="clear" w:color="auto" w:fill="FFFFFF"/>
              </w:rPr>
              <w:t>药剂学</w:t>
            </w:r>
          </w:p>
        </w:tc>
        <w:tc>
          <w:tcPr>
            <w:tcW w:w="6342" w:type="dxa"/>
            <w:vAlign w:val="center"/>
          </w:tcPr>
          <w:p>
            <w:pPr>
              <w:widowControl/>
              <w:rPr>
                <w:rFonts w:ascii="宋体"/>
                <w:szCs w:val="21"/>
              </w:rPr>
            </w:pPr>
            <w:r>
              <w:rPr>
                <w:rFonts w:hint="eastAsia" w:ascii="宋体"/>
                <w:szCs w:val="21"/>
              </w:rPr>
              <w:t>1</w:t>
            </w:r>
            <w:r>
              <w:rPr>
                <w:rFonts w:hint="eastAsia" w:ascii="宋体"/>
                <w:szCs w:val="21"/>
                <w:lang w:eastAsia="zh-CN"/>
              </w:rPr>
              <w:t>.</w:t>
            </w:r>
            <w:r>
              <w:rPr>
                <w:rFonts w:hint="eastAsia" w:ascii="宋体"/>
                <w:szCs w:val="21"/>
              </w:rPr>
              <w:t>《药剂学》第七版，崔德福，人民卫生出版社</w:t>
            </w:r>
          </w:p>
          <w:p>
            <w:pPr>
              <w:widowControl/>
              <w:rPr>
                <w:rFonts w:ascii="宋体"/>
                <w:szCs w:val="21"/>
              </w:rPr>
            </w:pPr>
            <w:r>
              <w:rPr>
                <w:rFonts w:hint="eastAsia" w:ascii="宋体"/>
                <w:szCs w:val="21"/>
              </w:rPr>
              <w:t>2</w:t>
            </w:r>
            <w:r>
              <w:rPr>
                <w:rFonts w:hint="eastAsia" w:ascii="宋体"/>
                <w:szCs w:val="21"/>
                <w:lang w:eastAsia="zh-CN"/>
              </w:rPr>
              <w:t>.</w:t>
            </w:r>
            <w:r>
              <w:rPr>
                <w:rFonts w:hint="eastAsia" w:ascii="宋体"/>
                <w:szCs w:val="21"/>
              </w:rPr>
              <w:t>《药物新剂型与新技术》，陆彬主编，人民卫生出版社</w:t>
            </w:r>
          </w:p>
          <w:p>
            <w:pPr>
              <w:rPr>
                <w:rFonts w:ascii="宋体"/>
                <w:szCs w:val="21"/>
              </w:rPr>
            </w:pPr>
            <w:r>
              <w:rPr>
                <w:rFonts w:hint="eastAsia" w:ascii="宋体"/>
                <w:szCs w:val="21"/>
              </w:rPr>
              <w:t>3</w:t>
            </w:r>
            <w:r>
              <w:rPr>
                <w:rFonts w:hint="eastAsia" w:ascii="宋体"/>
                <w:szCs w:val="21"/>
                <w:lang w:eastAsia="zh-CN"/>
              </w:rPr>
              <w:t>.</w:t>
            </w:r>
            <w:r>
              <w:rPr>
                <w:rFonts w:hint="eastAsia" w:ascii="宋体"/>
                <w:szCs w:val="21"/>
              </w:rPr>
              <w:t>《生物药剂学与药物动力学》，刘建平主编，第5版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default" w:eastAsia="宋体"/>
                <w:szCs w:val="21"/>
                <w:lang w:val="en-US" w:eastAsia="zh-CN"/>
              </w:rPr>
            </w:pPr>
            <w:r>
              <w:rPr>
                <w:rFonts w:hint="eastAsia"/>
                <w:szCs w:val="21"/>
                <w:lang w:val="en-US" w:eastAsia="zh-CN"/>
              </w:rPr>
              <w:t>2232</w:t>
            </w:r>
          </w:p>
        </w:tc>
        <w:tc>
          <w:tcPr>
            <w:tcW w:w="2159" w:type="dxa"/>
            <w:vAlign w:val="center"/>
          </w:tcPr>
          <w:p>
            <w:pPr>
              <w:ind w:firstLine="630" w:firstLineChars="300"/>
              <w:jc w:val="both"/>
              <w:rPr>
                <w:rFonts w:ascii="Arial" w:hAnsi="Arial" w:cs="Arial"/>
                <w:szCs w:val="21"/>
                <w:shd w:val="clear" w:color="auto" w:fill="FFFFFF"/>
              </w:rPr>
            </w:pPr>
            <w:r>
              <w:rPr>
                <w:rFonts w:hint="eastAsia" w:ascii="Arial" w:hAnsi="Arial" w:cs="Arial"/>
                <w:szCs w:val="21"/>
                <w:shd w:val="clear" w:color="auto" w:fill="FFFFFF"/>
              </w:rPr>
              <w:t>生药学</w:t>
            </w:r>
          </w:p>
        </w:tc>
        <w:tc>
          <w:tcPr>
            <w:tcW w:w="6342" w:type="dxa"/>
            <w:vAlign w:val="center"/>
          </w:tcPr>
          <w:p>
            <w:pPr>
              <w:widowControl/>
              <w:rPr>
                <w:rFonts w:ascii="宋体"/>
                <w:szCs w:val="21"/>
              </w:rPr>
            </w:pPr>
            <w:r>
              <w:rPr>
                <w:rFonts w:hint="eastAsia" w:ascii="宋体"/>
                <w:szCs w:val="21"/>
              </w:rPr>
              <w:t>《生药学》（第七版），蔡少青主编，人民卫生出版社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default" w:eastAsia="宋体"/>
                <w:szCs w:val="21"/>
                <w:lang w:val="en-US" w:eastAsia="zh-CN"/>
              </w:rPr>
            </w:pPr>
            <w:r>
              <w:rPr>
                <w:rFonts w:hint="eastAsia"/>
                <w:szCs w:val="21"/>
                <w:lang w:val="en-US" w:eastAsia="zh-CN"/>
              </w:rPr>
              <w:t>2233</w:t>
            </w:r>
          </w:p>
        </w:tc>
        <w:tc>
          <w:tcPr>
            <w:tcW w:w="2159" w:type="dxa"/>
            <w:vAlign w:val="center"/>
          </w:tcPr>
          <w:p>
            <w:pPr>
              <w:jc w:val="center"/>
              <w:rPr>
                <w:rFonts w:ascii="宋体" w:cs="宋体"/>
                <w:kern w:val="0"/>
                <w:szCs w:val="21"/>
              </w:rPr>
            </w:pPr>
            <w:r>
              <w:rPr>
                <w:rFonts w:hint="eastAsia" w:ascii="宋体" w:cs="宋体"/>
                <w:kern w:val="0"/>
                <w:szCs w:val="21"/>
              </w:rPr>
              <w:t>药物分析</w:t>
            </w:r>
          </w:p>
        </w:tc>
        <w:tc>
          <w:tcPr>
            <w:tcW w:w="6342" w:type="dxa"/>
            <w:vAlign w:val="center"/>
          </w:tcPr>
          <w:p>
            <w:pPr>
              <w:rPr>
                <w:rFonts w:ascii="宋体" w:cs="宋体"/>
                <w:kern w:val="0"/>
                <w:szCs w:val="21"/>
              </w:rPr>
            </w:pPr>
            <w:r>
              <w:rPr>
                <w:rFonts w:hint="eastAsia" w:ascii="宋体" w:cs="宋体"/>
                <w:kern w:val="0"/>
                <w:szCs w:val="21"/>
              </w:rPr>
              <w:t>《药物分析》第七版，</w:t>
            </w:r>
            <w:r>
              <w:rPr>
                <w:rFonts w:ascii="宋体" w:cs="宋体"/>
                <w:kern w:val="0"/>
                <w:szCs w:val="21"/>
              </w:rPr>
              <w:t> </w:t>
            </w:r>
            <w:r>
              <w:rPr>
                <w:rFonts w:hint="eastAsia" w:ascii="宋体" w:cs="宋体"/>
                <w:kern w:val="0"/>
                <w:szCs w:val="21"/>
              </w:rPr>
              <w:t>杭太俊主编，人民卫生出版社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2235</w:t>
            </w:r>
          </w:p>
        </w:tc>
        <w:tc>
          <w:tcPr>
            <w:tcW w:w="2159" w:type="dxa"/>
            <w:vAlign w:val="center"/>
          </w:tcPr>
          <w:p>
            <w:pPr>
              <w:ind w:firstLine="630" w:firstLineChars="300"/>
              <w:jc w:val="both"/>
              <w:rPr>
                <w:rFonts w:hint="eastAsia" w:ascii="宋体" w:hAnsi="Times New Roman" w:eastAsia="宋体" w:cs="宋体"/>
                <w:kern w:val="0"/>
                <w:sz w:val="21"/>
                <w:szCs w:val="21"/>
                <w:lang w:val="en-US" w:eastAsia="zh-CN" w:bidi="ar-SA"/>
              </w:rPr>
            </w:pPr>
            <w:r>
              <w:rPr>
                <w:rFonts w:hint="eastAsia" w:ascii="宋体" w:cs="宋体"/>
                <w:kern w:val="0"/>
                <w:szCs w:val="21"/>
              </w:rPr>
              <w:t>药理学</w:t>
            </w:r>
          </w:p>
        </w:tc>
        <w:tc>
          <w:tcPr>
            <w:tcW w:w="6342" w:type="dxa"/>
            <w:vAlign w:val="center"/>
          </w:tcPr>
          <w:p>
            <w:pPr>
              <w:widowControl/>
              <w:rPr>
                <w:rFonts w:hint="eastAsia" w:ascii="宋体" w:hAnsi="Times New Roman" w:eastAsia="宋体" w:cs="Times New Roman"/>
                <w:kern w:val="2"/>
                <w:sz w:val="21"/>
                <w:szCs w:val="21"/>
                <w:lang w:val="en-US" w:eastAsia="zh-CN" w:bidi="ar-SA"/>
              </w:rPr>
            </w:pPr>
            <w:r>
              <w:rPr>
                <w:rFonts w:hint="eastAsia" w:ascii="宋体"/>
                <w:szCs w:val="21"/>
              </w:rPr>
              <w:t>《药理学</w:t>
            </w:r>
            <w:r>
              <w:rPr>
                <w:rFonts w:ascii="宋体"/>
                <w:szCs w:val="21"/>
              </w:rPr>
              <w:t> </w:t>
            </w:r>
            <w:r>
              <w:rPr>
                <w:rFonts w:hint="eastAsia" w:ascii="宋体"/>
                <w:szCs w:val="21"/>
              </w:rPr>
              <w:t>》，朱</w:t>
            </w:r>
            <w:r>
              <w:rPr>
                <w:rFonts w:ascii="宋体"/>
                <w:szCs w:val="21"/>
              </w:rPr>
              <w:t>依谆 </w:t>
            </w:r>
            <w:r>
              <w:rPr>
                <w:rFonts w:hint="eastAsia" w:ascii="宋体"/>
                <w:szCs w:val="21"/>
              </w:rPr>
              <w:t>，人民</w:t>
            </w:r>
            <w:r>
              <w:rPr>
                <w:rFonts w:ascii="宋体"/>
                <w:szCs w:val="21"/>
              </w:rPr>
              <w:t>卫生出版</w:t>
            </w:r>
            <w:r>
              <w:rPr>
                <w:rFonts w:hint="eastAsia" w:ascii="宋体"/>
                <w:szCs w:val="21"/>
              </w:rPr>
              <w:t>社，2016年第8版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2261</w:t>
            </w:r>
          </w:p>
        </w:tc>
        <w:tc>
          <w:tcPr>
            <w:tcW w:w="2159" w:type="dxa"/>
            <w:vAlign w:val="center"/>
          </w:tcPr>
          <w:p>
            <w:pPr>
              <w:jc w:val="center"/>
              <w:rPr>
                <w:rFonts w:hint="eastAsia" w:ascii="宋体" w:hAnsi="Times New Roman" w:eastAsia="宋体" w:cs="Times New Roman"/>
                <w:kern w:val="2"/>
                <w:sz w:val="21"/>
                <w:szCs w:val="21"/>
                <w:lang w:val="en-US" w:eastAsia="zh-CN" w:bidi="ar-SA"/>
              </w:rPr>
            </w:pPr>
            <w:r>
              <w:rPr>
                <w:rFonts w:hint="eastAsia" w:ascii="宋体" w:cs="宋体"/>
                <w:kern w:val="0"/>
                <w:szCs w:val="21"/>
              </w:rPr>
              <w:t>天然药物化学</w:t>
            </w:r>
          </w:p>
        </w:tc>
        <w:tc>
          <w:tcPr>
            <w:tcW w:w="6342" w:type="dxa"/>
            <w:vAlign w:val="center"/>
          </w:tcPr>
          <w:p>
            <w:pPr>
              <w:jc w:val="left"/>
              <w:rPr>
                <w:rFonts w:hint="eastAsia" w:ascii="宋体" w:hAnsi="Times New Roman" w:eastAsia="宋体" w:cs="宋体"/>
                <w:kern w:val="0"/>
                <w:sz w:val="21"/>
                <w:szCs w:val="21"/>
                <w:lang w:val="en-US" w:eastAsia="zh-CN" w:bidi="ar-SA"/>
              </w:rPr>
            </w:pPr>
            <w:r>
              <w:rPr>
                <w:rFonts w:hint="eastAsia" w:ascii="宋体" w:cs="宋体"/>
                <w:kern w:val="0"/>
                <w:szCs w:val="21"/>
              </w:rPr>
              <w:t>《天然药物化学》，裴月湖和娄红祥主编，人民卫生出版社第七版，2016年2月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default" w:eastAsia="宋体"/>
                <w:szCs w:val="21"/>
                <w:lang w:val="en-US" w:eastAsia="zh-CN"/>
              </w:rPr>
            </w:pPr>
            <w:r>
              <w:rPr>
                <w:rFonts w:hint="eastAsia"/>
                <w:szCs w:val="21"/>
                <w:lang w:val="en-US" w:eastAsia="zh-CN"/>
              </w:rPr>
              <w:t>2262</w:t>
            </w:r>
          </w:p>
        </w:tc>
        <w:tc>
          <w:tcPr>
            <w:tcW w:w="2159" w:type="dxa"/>
            <w:vAlign w:val="center"/>
          </w:tcPr>
          <w:p>
            <w:pPr>
              <w:ind w:firstLine="525" w:firstLineChars="250"/>
              <w:jc w:val="both"/>
              <w:rPr>
                <w:rFonts w:ascii="宋体" w:cs="宋体"/>
                <w:kern w:val="0"/>
                <w:szCs w:val="21"/>
              </w:rPr>
            </w:pPr>
            <w:r>
              <w:rPr>
                <w:rFonts w:ascii="Arial" w:hAnsi="Arial" w:cs="Arial"/>
                <w:szCs w:val="21"/>
                <w:shd w:val="clear" w:color="auto" w:fill="FFFFFF"/>
              </w:rPr>
              <w:t>微生物</w:t>
            </w:r>
            <w:r>
              <w:rPr>
                <w:rFonts w:hint="eastAsia" w:ascii="Arial" w:hAnsi="Arial" w:cs="Arial"/>
                <w:szCs w:val="21"/>
                <w:shd w:val="clear" w:color="auto" w:fill="FFFFFF"/>
              </w:rPr>
              <w:t>学</w:t>
            </w:r>
          </w:p>
        </w:tc>
        <w:tc>
          <w:tcPr>
            <w:tcW w:w="6342" w:type="dxa"/>
            <w:vAlign w:val="center"/>
          </w:tcPr>
          <w:p>
            <w:pPr>
              <w:widowControl/>
              <w:rPr>
                <w:rFonts w:ascii="宋体"/>
                <w:szCs w:val="21"/>
              </w:rPr>
            </w:pPr>
            <w:r>
              <w:rPr>
                <w:rFonts w:hint="eastAsia" w:ascii="宋体"/>
                <w:szCs w:val="21"/>
              </w:rPr>
              <w:t>《微生物学教程》(第二版)，周德庆编，高等教育出版社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2263</w:t>
            </w:r>
          </w:p>
        </w:tc>
        <w:tc>
          <w:tcPr>
            <w:tcW w:w="2159" w:type="dxa"/>
            <w:vAlign w:val="center"/>
          </w:tcPr>
          <w:p>
            <w:pPr>
              <w:ind w:firstLine="630" w:firstLineChars="300"/>
              <w:jc w:val="both"/>
              <w:rPr>
                <w:rFonts w:ascii="宋体" w:hAnsi="Times New Roman" w:eastAsia="宋体" w:cs="宋体"/>
                <w:kern w:val="0"/>
                <w:sz w:val="21"/>
                <w:szCs w:val="21"/>
                <w:lang w:val="en-US" w:eastAsia="zh-CN" w:bidi="ar-SA"/>
              </w:rPr>
            </w:pPr>
            <w:r>
              <w:rPr>
                <w:rFonts w:hint="eastAsia" w:ascii="宋体" w:cs="宋体"/>
                <w:kern w:val="0"/>
                <w:szCs w:val="21"/>
              </w:rPr>
              <w:t>晶型药物</w:t>
            </w:r>
          </w:p>
        </w:tc>
        <w:tc>
          <w:tcPr>
            <w:tcW w:w="6342" w:type="dxa"/>
            <w:vAlign w:val="center"/>
          </w:tcPr>
          <w:p>
            <w:pPr>
              <w:rPr>
                <w:rFonts w:hint="eastAsia" w:ascii="宋体" w:hAnsi="Times New Roman" w:eastAsia="宋体" w:cs="宋体"/>
                <w:kern w:val="0"/>
                <w:sz w:val="21"/>
                <w:szCs w:val="21"/>
                <w:lang w:val="en-US" w:eastAsia="zh-CN" w:bidi="ar-SA"/>
              </w:rPr>
            </w:pPr>
            <w:r>
              <w:rPr>
                <w:rFonts w:hint="eastAsia" w:ascii="宋体" w:cs="宋体"/>
                <w:kern w:val="0"/>
                <w:szCs w:val="21"/>
              </w:rPr>
              <w:t>《晶型药物 》，吕杨，杜冠华主编，人民卫生出版社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default" w:eastAsia="宋体"/>
                <w:szCs w:val="21"/>
                <w:lang w:val="en-US" w:eastAsia="zh-CN"/>
              </w:rPr>
            </w:pPr>
            <w:r>
              <w:rPr>
                <w:rFonts w:hint="eastAsia"/>
                <w:szCs w:val="21"/>
                <w:lang w:val="en-US" w:eastAsia="zh-CN"/>
              </w:rPr>
              <w:t>2265</w:t>
            </w:r>
          </w:p>
        </w:tc>
        <w:tc>
          <w:tcPr>
            <w:tcW w:w="2159" w:type="dxa"/>
            <w:vAlign w:val="center"/>
          </w:tcPr>
          <w:p>
            <w:pPr>
              <w:jc w:val="center"/>
              <w:rPr>
                <w:rFonts w:ascii="Arial" w:hAnsi="Arial" w:cs="Arial"/>
                <w:szCs w:val="21"/>
                <w:shd w:val="clear" w:color="auto" w:fill="FFFFFF"/>
              </w:rPr>
            </w:pPr>
            <w:r>
              <w:rPr>
                <w:rFonts w:hint="eastAsia" w:ascii="宋体" w:cs="宋体"/>
                <w:kern w:val="0"/>
                <w:szCs w:val="21"/>
              </w:rPr>
              <w:t>分子生物学</w:t>
            </w:r>
          </w:p>
        </w:tc>
        <w:tc>
          <w:tcPr>
            <w:tcW w:w="6342" w:type="dxa"/>
            <w:vAlign w:val="center"/>
          </w:tcPr>
          <w:p>
            <w:pPr>
              <w:widowControl/>
              <w:rPr>
                <w:rFonts w:ascii="宋体"/>
                <w:szCs w:val="21"/>
              </w:rPr>
            </w:pPr>
            <w:r>
              <w:rPr>
                <w:rFonts w:hint="eastAsia" w:ascii="宋体"/>
                <w:szCs w:val="21"/>
              </w:rPr>
              <w:t>《药学分子生物学》（第五版），张景海编，人民卫生出版社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default" w:eastAsia="宋体"/>
                <w:szCs w:val="21"/>
                <w:lang w:val="en-US" w:eastAsia="zh-CN"/>
              </w:rPr>
            </w:pPr>
            <w:r>
              <w:rPr>
                <w:rFonts w:hint="eastAsia"/>
                <w:szCs w:val="21"/>
                <w:lang w:val="en-US" w:eastAsia="zh-CN"/>
              </w:rPr>
              <w:t>2266</w:t>
            </w:r>
          </w:p>
        </w:tc>
        <w:tc>
          <w:tcPr>
            <w:tcW w:w="2159" w:type="dxa"/>
            <w:vAlign w:val="center"/>
          </w:tcPr>
          <w:p>
            <w:pPr>
              <w:jc w:val="center"/>
              <w:rPr>
                <w:rFonts w:ascii="Arial" w:hAnsi="Arial" w:cs="Arial"/>
                <w:szCs w:val="21"/>
                <w:shd w:val="clear" w:color="auto" w:fill="FFFFFF"/>
              </w:rPr>
            </w:pPr>
            <w:r>
              <w:rPr>
                <w:rFonts w:hint="eastAsia" w:ascii="宋体" w:cs="宋体"/>
                <w:kern w:val="0"/>
                <w:szCs w:val="21"/>
              </w:rPr>
              <w:t>生物化学</w:t>
            </w:r>
          </w:p>
        </w:tc>
        <w:tc>
          <w:tcPr>
            <w:tcW w:w="6342" w:type="dxa"/>
            <w:vAlign w:val="center"/>
          </w:tcPr>
          <w:p>
            <w:pPr>
              <w:widowControl/>
              <w:rPr>
                <w:rFonts w:ascii="宋体"/>
                <w:szCs w:val="21"/>
              </w:rPr>
            </w:pPr>
            <w:r>
              <w:rPr>
                <w:rFonts w:hint="eastAsia" w:ascii="宋体"/>
                <w:szCs w:val="21"/>
              </w:rPr>
              <w:t>《生物化学》（第四版），朱圣庚、徐长法编，高等教育出版社</w:t>
            </w:r>
          </w:p>
        </w:tc>
      </w:tr>
    </w:tbl>
    <w:p>
      <w:pPr>
        <w:spacing w:line="400" w:lineRule="exact"/>
        <w:ind w:firstLine="482" w:firstLineChars="200"/>
        <w:rPr>
          <w:rFonts w:ascii="宋体" w:hAnsi="宋体" w:cs="宋体"/>
          <w:b/>
          <w:bCs/>
          <w:sz w:val="24"/>
        </w:rPr>
      </w:pPr>
    </w:p>
    <w:p>
      <w:pPr>
        <w:pStyle w:val="7"/>
        <w:spacing w:before="156" w:beforeLines="50" w:line="400" w:lineRule="exact"/>
        <w:ind w:left="0" w:leftChars="0" w:firstLine="562" w:firstLineChars="200"/>
        <w:rPr>
          <w:rFonts w:ascii="宋体" w:hAnsi="宋体" w:eastAsia="宋体" w:cs="宋体"/>
          <w:b/>
          <w:bCs/>
        </w:rPr>
      </w:pPr>
      <w:r>
        <w:rPr>
          <w:rFonts w:hint="eastAsia" w:ascii="宋体" w:hAnsi="宋体" w:eastAsia="宋体" w:cs="宋体"/>
          <w:b/>
          <w:bCs/>
        </w:rPr>
        <w:t>六、博士研究生招生导师简介</w:t>
      </w:r>
    </w:p>
    <w:p>
      <w:pPr>
        <w:numPr>
          <w:ilvl w:val="0"/>
          <w:numId w:val="1"/>
        </w:numPr>
        <w:spacing w:line="360" w:lineRule="auto"/>
      </w:pPr>
      <w:r>
        <w:rPr>
          <w:rFonts w:hint="eastAsia"/>
          <w:b/>
          <w:szCs w:val="21"/>
        </w:rPr>
        <w:t xml:space="preserve">江涛  </w:t>
      </w:r>
      <w:r>
        <w:rPr>
          <w:rFonts w:hint="eastAsia"/>
        </w:rPr>
        <w:t>联系方式： 0532-82032712 ；Email:</w:t>
      </w:r>
      <w:r>
        <w:fldChar w:fldCharType="begin"/>
      </w:r>
      <w:r>
        <w:instrText xml:space="preserve"> HYPERLINK "mailto:jiangtao@ouc.edu.cn" </w:instrText>
      </w:r>
      <w:r>
        <w:fldChar w:fldCharType="separate"/>
      </w:r>
      <w:r>
        <w:rPr>
          <w:rFonts w:hint="eastAsia"/>
        </w:rPr>
        <w:t>jiangtao@ouc.edu.cn</w:t>
      </w:r>
      <w:r>
        <w:rPr>
          <w:rFonts w:hint="eastAsia"/>
        </w:rPr>
        <w:fldChar w:fldCharType="end"/>
      </w:r>
    </w:p>
    <w:p>
      <w:pPr>
        <w:snapToGrid w:val="0"/>
        <w:spacing w:line="400" w:lineRule="exact"/>
      </w:pPr>
      <w:r>
        <w:rPr>
          <w:rFonts w:hint="eastAsia"/>
          <w:b/>
        </w:rPr>
        <w:t>招生专业：</w:t>
      </w:r>
      <w:r>
        <w:rPr>
          <w:rFonts w:hint="eastAsia"/>
        </w:rPr>
        <w:t>药物化学</w:t>
      </w:r>
    </w:p>
    <w:p>
      <w:pPr>
        <w:snapToGrid w:val="0"/>
        <w:spacing w:line="400" w:lineRule="exact"/>
        <w:rPr>
          <w:szCs w:val="21"/>
        </w:rPr>
      </w:pPr>
      <w:r>
        <w:rPr>
          <w:rFonts w:hint="eastAsia"/>
          <w:b/>
        </w:rPr>
        <w:t>主要研究方向</w:t>
      </w:r>
      <w:r>
        <w:rPr>
          <w:rFonts w:hint="eastAsia"/>
        </w:rPr>
        <w:t>：</w:t>
      </w:r>
      <w:r>
        <w:rPr>
          <w:rFonts w:hint="eastAsia"/>
          <w:szCs w:val="21"/>
        </w:rPr>
        <w:t>药物设计与合成，1、以计算机辅助分子模拟为指导的海洋生物碱杂多环的合成及其结构优化与构效关系研究；2、以糖生物学为基础的糖检测试剂和糖苷类药物的设计与合成；3、开发研制新的海洋药物。</w:t>
      </w:r>
    </w:p>
    <w:p>
      <w:pPr>
        <w:snapToGrid w:val="0"/>
        <w:spacing w:before="60" w:line="400" w:lineRule="exact"/>
        <w:rPr>
          <w:szCs w:val="21"/>
        </w:rPr>
      </w:pPr>
      <w:r>
        <w:rPr>
          <w:rFonts w:hint="eastAsia"/>
          <w:b/>
        </w:rPr>
        <w:t>近三年主要研究成果、在研项目及经费：</w:t>
      </w:r>
      <w:r>
        <w:rPr>
          <w:rFonts w:hint="eastAsia"/>
          <w:szCs w:val="21"/>
        </w:rPr>
        <w:t>完成三种海洋生物碱的全合成和构效关系研究，一个候选药物入选国家重大新药创制备选库，先后在</w:t>
      </w:r>
      <w:r>
        <w:rPr>
          <w:rFonts w:hint="eastAsia"/>
          <w:i/>
          <w:szCs w:val="21"/>
        </w:rPr>
        <w:t>J. Med Chem.、 Chemcomm、Eur. J. Med. Chem</w:t>
      </w:r>
      <w:r>
        <w:rPr>
          <w:rFonts w:hint="eastAsia"/>
          <w:szCs w:val="21"/>
        </w:rPr>
        <w:t>等发表文章</w:t>
      </w:r>
      <w:r>
        <w:rPr>
          <w:szCs w:val="21"/>
        </w:rPr>
        <w:t>SCI</w:t>
      </w:r>
      <w:r>
        <w:rPr>
          <w:rFonts w:hint="eastAsia"/>
          <w:szCs w:val="21"/>
        </w:rPr>
        <w:t>论文</w:t>
      </w:r>
      <w:r>
        <w:rPr>
          <w:szCs w:val="21"/>
        </w:rPr>
        <w:t>15</w:t>
      </w:r>
      <w:r>
        <w:rPr>
          <w:rFonts w:hint="eastAsia"/>
          <w:szCs w:val="21"/>
        </w:rPr>
        <w:t>余篇，获国家专利</w:t>
      </w:r>
      <w:r>
        <w:rPr>
          <w:szCs w:val="21"/>
        </w:rPr>
        <w:t>5</w:t>
      </w:r>
      <w:r>
        <w:rPr>
          <w:rFonts w:hint="eastAsia"/>
          <w:szCs w:val="21"/>
        </w:rPr>
        <w:t>项，申请专利</w:t>
      </w:r>
      <w:r>
        <w:rPr>
          <w:szCs w:val="21"/>
        </w:rPr>
        <w:t>6</w:t>
      </w:r>
      <w:r>
        <w:rPr>
          <w:rFonts w:hint="eastAsia"/>
          <w:szCs w:val="21"/>
        </w:rPr>
        <w:t>项。目前主持在研项目科技部国际合作项目、国家自然科学基金项目、自然科学基金</w:t>
      </w:r>
      <w:r>
        <w:rPr>
          <w:szCs w:val="21"/>
        </w:rPr>
        <w:t>-</w:t>
      </w:r>
      <w:r>
        <w:rPr>
          <w:rFonts w:hint="eastAsia"/>
          <w:szCs w:val="21"/>
        </w:rPr>
        <w:t>山东省联合基金（作为子课题负责人，两项）等，实际到位经费</w:t>
      </w:r>
      <w:r>
        <w:rPr>
          <w:szCs w:val="21"/>
        </w:rPr>
        <w:t>400</w:t>
      </w:r>
      <w:r>
        <w:rPr>
          <w:rFonts w:hint="eastAsia"/>
          <w:szCs w:val="21"/>
        </w:rPr>
        <w:t>万元。</w:t>
      </w:r>
    </w:p>
    <w:p>
      <w:pPr>
        <w:numPr>
          <w:ilvl w:val="0"/>
          <w:numId w:val="1"/>
        </w:numPr>
        <w:spacing w:line="400" w:lineRule="exact"/>
        <w:rPr>
          <w:szCs w:val="21"/>
        </w:rPr>
      </w:pPr>
      <w:bookmarkStart w:id="0" w:name="_Hlk22624436"/>
      <w:r>
        <w:rPr>
          <w:rFonts w:hint="eastAsia"/>
          <w:b/>
          <w:szCs w:val="21"/>
        </w:rPr>
        <w:t xml:space="preserve">唐宇  </w:t>
      </w:r>
      <w:r>
        <w:rPr>
          <w:rFonts w:hint="eastAsia"/>
          <w:szCs w:val="21"/>
        </w:rPr>
        <w:t>联系方式：</w:t>
      </w:r>
      <w:r>
        <w:rPr>
          <w:szCs w:val="21"/>
        </w:rPr>
        <w:t xml:space="preserve">1861955648 </w:t>
      </w:r>
      <w:r>
        <w:rPr>
          <w:rFonts w:hint="eastAsia"/>
          <w:szCs w:val="21"/>
        </w:rPr>
        <w:t>Email:tangyu@ouc.edu.cn</w:t>
      </w:r>
      <w:bookmarkEnd w:id="0"/>
    </w:p>
    <w:p>
      <w:pPr>
        <w:spacing w:line="400" w:lineRule="exact"/>
        <w:rPr>
          <w:szCs w:val="21"/>
        </w:rPr>
      </w:pPr>
      <w:r>
        <w:rPr>
          <w:rFonts w:hint="eastAsia" w:hAnsi="宋体"/>
          <w:b/>
          <w:kern w:val="0"/>
          <w:szCs w:val="21"/>
        </w:rPr>
        <w:t>招生专业：</w:t>
      </w:r>
      <w:r>
        <w:rPr>
          <w:rFonts w:hint="eastAsia"/>
          <w:szCs w:val="21"/>
        </w:rPr>
        <w:t>药物化学</w:t>
      </w:r>
    </w:p>
    <w:p>
      <w:pPr>
        <w:spacing w:line="400" w:lineRule="exact"/>
        <w:rPr>
          <w:rFonts w:ascii="宋体" w:hAnsi="宋体"/>
          <w:szCs w:val="21"/>
        </w:rPr>
      </w:pPr>
      <w:r>
        <w:rPr>
          <w:rFonts w:hint="eastAsia" w:hAnsi="宋体"/>
          <w:b/>
          <w:kern w:val="0"/>
          <w:szCs w:val="21"/>
        </w:rPr>
        <w:t>主要</w:t>
      </w:r>
      <w:r>
        <w:rPr>
          <w:rFonts w:hAnsi="宋体"/>
          <w:b/>
          <w:kern w:val="0"/>
          <w:szCs w:val="21"/>
        </w:rPr>
        <w:t>研究方向</w:t>
      </w:r>
      <w:r>
        <w:rPr>
          <w:rFonts w:hint="eastAsia" w:hAnsi="宋体"/>
          <w:b/>
          <w:kern w:val="0"/>
          <w:szCs w:val="21"/>
        </w:rPr>
        <w:t>：</w:t>
      </w:r>
      <w:r>
        <w:rPr>
          <w:rFonts w:ascii="宋体" w:hAnsi="宋体"/>
          <w:szCs w:val="21"/>
        </w:rPr>
        <w:t>I、</w:t>
      </w:r>
      <w:r>
        <w:rPr>
          <w:rFonts w:hint="eastAsia" w:ascii="宋体" w:hAnsi="宋体"/>
          <w:szCs w:val="21"/>
        </w:rPr>
        <w:t>应用环加成和环化策略合成天然产物及螺缩酮的立体选择性方法学研究。</w:t>
      </w:r>
    </w:p>
    <w:p>
      <w:pPr>
        <w:spacing w:line="400" w:lineRule="exact"/>
        <w:rPr>
          <w:szCs w:val="21"/>
        </w:rPr>
      </w:pPr>
      <w:r>
        <w:rPr>
          <w:rFonts w:hint="eastAsia" w:ascii="宋体" w:hAnsi="宋体"/>
          <w:szCs w:val="21"/>
        </w:rPr>
        <w:t>II、海洋天然产物的全合成及</w:t>
      </w:r>
      <w:r>
        <w:rPr>
          <w:rFonts w:ascii="宋体" w:hAnsi="宋体"/>
          <w:szCs w:val="21"/>
        </w:rPr>
        <w:t>其在药学</w:t>
      </w:r>
      <w:r>
        <w:rPr>
          <w:rFonts w:hint="eastAsia" w:ascii="宋体" w:hAnsi="宋体"/>
          <w:szCs w:val="21"/>
        </w:rPr>
        <w:t>方面研究</w:t>
      </w:r>
    </w:p>
    <w:p>
      <w:pPr>
        <w:spacing w:line="440" w:lineRule="exact"/>
      </w:pPr>
      <w:r>
        <w:rPr>
          <w:rFonts w:hint="eastAsia" w:hAnsi="宋体"/>
          <w:b/>
          <w:kern w:val="0"/>
          <w:szCs w:val="21"/>
        </w:rPr>
        <w:t>近三年</w:t>
      </w:r>
      <w:r>
        <w:rPr>
          <w:rFonts w:hAnsi="宋体"/>
          <w:b/>
          <w:kern w:val="0"/>
          <w:szCs w:val="21"/>
        </w:rPr>
        <w:t>主要研究成果、在研项目及经费</w:t>
      </w:r>
      <w:r>
        <w:rPr>
          <w:rFonts w:hint="eastAsia" w:hAnsi="宋体"/>
          <w:b/>
          <w:kern w:val="0"/>
          <w:szCs w:val="21"/>
        </w:rPr>
        <w:t>：</w:t>
      </w:r>
      <w:r>
        <w:rPr>
          <w:rFonts w:hint="eastAsia"/>
          <w:szCs w:val="21"/>
        </w:rPr>
        <w:t>近三年发表</w:t>
      </w:r>
      <w:r>
        <w:rPr>
          <w:szCs w:val="21"/>
        </w:rPr>
        <w:t>国际</w:t>
      </w:r>
      <w:r>
        <w:rPr>
          <w:rFonts w:hint="eastAsia"/>
          <w:szCs w:val="21"/>
        </w:rPr>
        <w:t>高水平</w:t>
      </w:r>
      <w:r>
        <w:rPr>
          <w:szCs w:val="21"/>
        </w:rPr>
        <w:t>文章</w:t>
      </w:r>
      <w:r>
        <w:rPr>
          <w:rFonts w:hint="eastAsia"/>
          <w:szCs w:val="21"/>
        </w:rPr>
        <w:t>13篇</w:t>
      </w:r>
      <w:r>
        <w:rPr>
          <w:szCs w:val="21"/>
        </w:rPr>
        <w:t>。</w:t>
      </w:r>
      <w:r>
        <w:rPr>
          <w:rFonts w:hint="eastAsia"/>
          <w:szCs w:val="21"/>
        </w:rPr>
        <w:t>在应用环加成及环化策略合成天然产物，炔酰胺（ynamides）及螺缩酮（spiroketal）的立体选择性方法学研究，应用等方面都取得了重大创新性的研究成果。在研</w:t>
      </w:r>
      <w:r>
        <w:rPr>
          <w:szCs w:val="21"/>
        </w:rPr>
        <w:t>项目：</w:t>
      </w:r>
      <w:r>
        <w:rPr>
          <w:rFonts w:ascii="宋体" w:hAnsi="宋体" w:cs="微软雅黑"/>
          <w:bCs/>
          <w:szCs w:val="21"/>
        </w:rPr>
        <w:t>①</w:t>
      </w:r>
      <w:r>
        <w:rPr>
          <w:rFonts w:hint="eastAsia" w:ascii="宋体" w:hAnsi="宋体"/>
          <w:bCs/>
          <w:szCs w:val="21"/>
        </w:rPr>
        <w:t>中国海洋大学英才计划“第一层次”科研基金（2016-2021）50万；</w:t>
      </w:r>
      <w:r>
        <w:rPr>
          <w:rFonts w:ascii="宋体" w:hAnsi="宋体" w:cs="微软雅黑"/>
          <w:bCs/>
          <w:szCs w:val="21"/>
        </w:rPr>
        <w:t>②</w:t>
      </w:r>
      <w:r>
        <w:rPr>
          <w:rFonts w:ascii="宋体" w:hAnsi="宋体"/>
          <w:bCs/>
          <w:szCs w:val="21"/>
        </w:rPr>
        <w:t>国家自然科学基金面上项目（2018.01-2021.12）；项目批准号：21772181；项目名称：一些海洋吲哚生物碱的合成与其生物靶点确认研究 69万</w:t>
      </w:r>
      <w:r>
        <w:rPr>
          <w:rFonts w:hint="eastAsia" w:ascii="宋体" w:hAnsi="宋体"/>
          <w:bCs/>
          <w:szCs w:val="21"/>
        </w:rPr>
        <w:t>。</w:t>
      </w:r>
    </w:p>
    <w:p>
      <w:pPr>
        <w:numPr>
          <w:ilvl w:val="0"/>
          <w:numId w:val="1"/>
        </w:numPr>
        <w:snapToGrid w:val="0"/>
        <w:spacing w:line="400" w:lineRule="exact"/>
      </w:pPr>
      <w:r>
        <w:rPr>
          <w:rFonts w:hint="eastAsia"/>
          <w:b/>
        </w:rPr>
        <w:t xml:space="preserve">朱伟明 </w:t>
      </w:r>
      <w:r>
        <w:rPr>
          <w:rFonts w:hint="eastAsia"/>
        </w:rPr>
        <w:t>联系方式： 0532-82031268；</w:t>
      </w:r>
      <w:r>
        <w:rPr>
          <w:szCs w:val="21"/>
        </w:rPr>
        <w:t>Email</w:t>
      </w:r>
      <w:r>
        <w:rPr>
          <w:rFonts w:hint="eastAsia"/>
          <w:szCs w:val="21"/>
        </w:rPr>
        <w:t>：</w:t>
      </w:r>
      <w:r>
        <w:rPr>
          <w:rFonts w:hint="eastAsia"/>
        </w:rPr>
        <w:t>weimingzhu@ouc.edu.cn</w:t>
      </w:r>
    </w:p>
    <w:p>
      <w:pPr>
        <w:snapToGrid w:val="0"/>
        <w:spacing w:line="400" w:lineRule="exact"/>
      </w:pPr>
      <w:r>
        <w:rPr>
          <w:rFonts w:hint="eastAsia"/>
          <w:b/>
        </w:rPr>
        <w:t>招生专业：</w:t>
      </w:r>
      <w:r>
        <w:rPr>
          <w:rFonts w:hint="eastAsia"/>
        </w:rPr>
        <w:t>药物化学</w:t>
      </w:r>
    </w:p>
    <w:p>
      <w:pPr>
        <w:snapToGrid w:val="0"/>
        <w:spacing w:line="400" w:lineRule="exact"/>
        <w:rPr>
          <w:szCs w:val="21"/>
        </w:rPr>
      </w:pPr>
      <w:r>
        <w:rPr>
          <w:rFonts w:hint="eastAsia"/>
          <w:b/>
        </w:rPr>
        <w:t>主要研究方向：</w:t>
      </w:r>
      <w:r>
        <w:rPr>
          <w:rFonts w:hint="eastAsia"/>
          <w:szCs w:val="21"/>
        </w:rPr>
        <w:t>海洋微生物药物化学——海洋微生物来源的含氮和卤代等活性新天然产物的发现与成药性优化。</w:t>
      </w:r>
    </w:p>
    <w:p>
      <w:pPr>
        <w:snapToGrid w:val="0"/>
        <w:spacing w:line="400" w:lineRule="exact"/>
        <w:rPr>
          <w:szCs w:val="21"/>
        </w:rPr>
      </w:pPr>
      <w:r>
        <w:rPr>
          <w:rFonts w:hint="eastAsia"/>
          <w:b/>
          <w:szCs w:val="21"/>
        </w:rPr>
        <w:t>近三年</w:t>
      </w:r>
      <w:r>
        <w:rPr>
          <w:b/>
          <w:szCs w:val="21"/>
        </w:rPr>
        <w:t>主要研究成果</w:t>
      </w:r>
      <w:r>
        <w:rPr>
          <w:rFonts w:hint="eastAsia"/>
          <w:b/>
          <w:szCs w:val="21"/>
        </w:rPr>
        <w:t>、</w:t>
      </w:r>
      <w:r>
        <w:rPr>
          <w:b/>
          <w:szCs w:val="21"/>
        </w:rPr>
        <w:t>在研项目及经费</w:t>
      </w:r>
      <w:r>
        <w:rPr>
          <w:rFonts w:hint="eastAsia"/>
          <w:b/>
          <w:szCs w:val="21"/>
        </w:rPr>
        <w:t>：</w:t>
      </w:r>
      <w:r>
        <w:rPr>
          <w:rFonts w:hint="eastAsia"/>
          <w:szCs w:val="21"/>
        </w:rPr>
        <w:t>针对肿瘤、病毒和病原微生物感染等疾病，形成了生物活性与化学特性相结合的药源微生物集成筛选技术体系，发现了一批具有抗生活性的含氮和卤代等新天然产物，结构优化获得了新药先导化合物和候选药物，2</w:t>
      </w:r>
      <w:r>
        <w:rPr>
          <w:szCs w:val="21"/>
        </w:rPr>
        <w:t>018</w:t>
      </w:r>
      <w:r>
        <w:rPr>
          <w:rFonts w:hint="eastAsia"/>
          <w:szCs w:val="21"/>
        </w:rPr>
        <w:t>以来在</w:t>
      </w:r>
      <w:r>
        <w:rPr>
          <w:bCs/>
          <w:i/>
          <w:iCs/>
          <w:szCs w:val="21"/>
          <w:lang w:val="pt-BR"/>
        </w:rPr>
        <w:t>Angew</w:t>
      </w:r>
      <w:r>
        <w:rPr>
          <w:bCs/>
          <w:szCs w:val="21"/>
          <w:lang w:val="pt-BR"/>
        </w:rPr>
        <w:t xml:space="preserve"> </w:t>
      </w:r>
      <w:r>
        <w:rPr>
          <w:bCs/>
          <w:i/>
          <w:iCs/>
          <w:szCs w:val="21"/>
          <w:lang w:val="pt-BR"/>
        </w:rPr>
        <w:t>Chem</w:t>
      </w:r>
      <w:r>
        <w:rPr>
          <w:bCs/>
          <w:szCs w:val="21"/>
          <w:lang w:val="pt-BR"/>
        </w:rPr>
        <w:t xml:space="preserve"> </w:t>
      </w:r>
      <w:r>
        <w:rPr>
          <w:bCs/>
          <w:i/>
          <w:iCs/>
          <w:szCs w:val="21"/>
          <w:lang w:val="pt-BR"/>
        </w:rPr>
        <w:t>Int</w:t>
      </w:r>
      <w:r>
        <w:rPr>
          <w:bCs/>
          <w:szCs w:val="21"/>
          <w:lang w:val="pt-BR"/>
        </w:rPr>
        <w:t xml:space="preserve"> </w:t>
      </w:r>
      <w:r>
        <w:rPr>
          <w:bCs/>
          <w:i/>
          <w:iCs/>
          <w:szCs w:val="21"/>
          <w:lang w:val="pt-BR"/>
        </w:rPr>
        <w:t>Ed</w:t>
      </w:r>
      <w:r>
        <w:rPr>
          <w:rFonts w:hint="eastAsia"/>
          <w:szCs w:val="21"/>
        </w:rPr>
        <w:t>、</w:t>
      </w:r>
      <w:r>
        <w:rPr>
          <w:rFonts w:hint="eastAsia"/>
          <w:i/>
          <w:iCs/>
          <w:szCs w:val="21"/>
        </w:rPr>
        <w:t>Org</w:t>
      </w:r>
      <w:r>
        <w:rPr>
          <w:i/>
          <w:iCs/>
          <w:szCs w:val="21"/>
        </w:rPr>
        <w:t xml:space="preserve"> </w:t>
      </w:r>
      <w:r>
        <w:rPr>
          <w:rFonts w:hint="eastAsia"/>
          <w:i/>
          <w:iCs/>
          <w:szCs w:val="21"/>
        </w:rPr>
        <w:t>Let</w:t>
      </w:r>
      <w:r>
        <w:rPr>
          <w:rFonts w:hint="eastAsia"/>
          <w:szCs w:val="21"/>
        </w:rPr>
        <w:t>、</w:t>
      </w:r>
      <w:r>
        <w:rPr>
          <w:i/>
          <w:iCs/>
          <w:szCs w:val="21"/>
        </w:rPr>
        <w:t>Oncogene</w:t>
      </w:r>
      <w:r>
        <w:rPr>
          <w:rFonts w:hint="eastAsia"/>
          <w:szCs w:val="21"/>
        </w:rPr>
        <w:t xml:space="preserve">、 </w:t>
      </w:r>
      <w:r>
        <w:rPr>
          <w:rFonts w:hint="eastAsia"/>
          <w:i/>
          <w:iCs/>
          <w:szCs w:val="21"/>
        </w:rPr>
        <w:t>J</w:t>
      </w:r>
      <w:r>
        <w:rPr>
          <w:i/>
          <w:iCs/>
          <w:szCs w:val="21"/>
        </w:rPr>
        <w:t xml:space="preserve"> </w:t>
      </w:r>
      <w:r>
        <w:rPr>
          <w:rFonts w:hint="eastAsia"/>
          <w:i/>
          <w:iCs/>
          <w:szCs w:val="21"/>
        </w:rPr>
        <w:t>A</w:t>
      </w:r>
      <w:r>
        <w:rPr>
          <w:i/>
          <w:iCs/>
          <w:szCs w:val="21"/>
        </w:rPr>
        <w:t xml:space="preserve">gric </w:t>
      </w:r>
      <w:r>
        <w:rPr>
          <w:rFonts w:hint="eastAsia"/>
          <w:i/>
          <w:iCs/>
          <w:szCs w:val="21"/>
        </w:rPr>
        <w:t>Food</w:t>
      </w:r>
      <w:r>
        <w:rPr>
          <w:i/>
          <w:iCs/>
          <w:szCs w:val="21"/>
        </w:rPr>
        <w:t xml:space="preserve"> </w:t>
      </w:r>
      <w:r>
        <w:rPr>
          <w:rFonts w:hint="eastAsia"/>
          <w:i/>
          <w:iCs/>
          <w:szCs w:val="21"/>
        </w:rPr>
        <w:t>Chem</w:t>
      </w:r>
      <w:r>
        <w:rPr>
          <w:rFonts w:hint="eastAsia"/>
          <w:szCs w:val="21"/>
        </w:rPr>
        <w:t>、</w:t>
      </w:r>
      <w:r>
        <w:rPr>
          <w:rFonts w:hint="eastAsia"/>
          <w:i/>
          <w:iCs/>
          <w:szCs w:val="21"/>
        </w:rPr>
        <w:t>J</w:t>
      </w:r>
      <w:r>
        <w:rPr>
          <w:i/>
          <w:iCs/>
          <w:szCs w:val="21"/>
        </w:rPr>
        <w:t xml:space="preserve"> </w:t>
      </w:r>
      <w:r>
        <w:rPr>
          <w:rFonts w:hint="eastAsia"/>
          <w:i/>
          <w:iCs/>
          <w:szCs w:val="21"/>
        </w:rPr>
        <w:t>Nat</w:t>
      </w:r>
      <w:r>
        <w:rPr>
          <w:i/>
          <w:iCs/>
          <w:szCs w:val="21"/>
        </w:rPr>
        <w:t xml:space="preserve"> </w:t>
      </w:r>
      <w:r>
        <w:rPr>
          <w:rFonts w:hint="eastAsia"/>
          <w:i/>
          <w:iCs/>
          <w:szCs w:val="21"/>
        </w:rPr>
        <w:t>Prod</w:t>
      </w:r>
      <w:r>
        <w:rPr>
          <w:rFonts w:hint="eastAsia"/>
          <w:szCs w:val="21"/>
        </w:rPr>
        <w:t>、</w:t>
      </w:r>
      <w:r>
        <w:rPr>
          <w:rFonts w:hint="eastAsia"/>
          <w:i/>
          <w:iCs/>
          <w:szCs w:val="21"/>
        </w:rPr>
        <w:t>Mar</w:t>
      </w:r>
      <w:r>
        <w:rPr>
          <w:i/>
          <w:iCs/>
          <w:szCs w:val="21"/>
        </w:rPr>
        <w:t xml:space="preserve"> </w:t>
      </w:r>
      <w:r>
        <w:rPr>
          <w:rFonts w:hint="eastAsia"/>
          <w:i/>
          <w:iCs/>
          <w:szCs w:val="21"/>
        </w:rPr>
        <w:t>Drugs</w:t>
      </w:r>
      <w:r>
        <w:rPr>
          <w:rFonts w:hint="eastAsia"/>
          <w:szCs w:val="21"/>
        </w:rPr>
        <w:t>等一、二区SCI期刊上发表论文2</w:t>
      </w:r>
      <w:r>
        <w:rPr>
          <w:szCs w:val="21"/>
        </w:rPr>
        <w:t>6</w:t>
      </w:r>
      <w:r>
        <w:rPr>
          <w:rFonts w:hint="eastAsia"/>
          <w:szCs w:val="21"/>
        </w:rPr>
        <w:t>篇。2</w:t>
      </w:r>
      <w:r>
        <w:rPr>
          <w:szCs w:val="21"/>
        </w:rPr>
        <w:t>018</w:t>
      </w:r>
      <w:r>
        <w:rPr>
          <w:rFonts w:hint="eastAsia"/>
          <w:szCs w:val="21"/>
        </w:rPr>
        <w:t>年以来，共主持承担</w:t>
      </w:r>
      <w:r>
        <w:rPr>
          <w:szCs w:val="21"/>
        </w:rPr>
        <w:t>7</w:t>
      </w:r>
      <w:r>
        <w:rPr>
          <w:rFonts w:hint="eastAsia"/>
          <w:szCs w:val="21"/>
        </w:rPr>
        <w:t>项国家自然科学基金之面上项目、国际（地区）合作项目以及联合项目，研究经费</w:t>
      </w:r>
      <w:r>
        <w:rPr>
          <w:szCs w:val="21"/>
        </w:rPr>
        <w:t>8</w:t>
      </w:r>
      <w:r>
        <w:rPr>
          <w:rFonts w:hint="eastAsia"/>
          <w:szCs w:val="21"/>
        </w:rPr>
        <w:t>00余万元。</w:t>
      </w:r>
    </w:p>
    <w:p>
      <w:pPr>
        <w:numPr>
          <w:ilvl w:val="0"/>
          <w:numId w:val="1"/>
        </w:numPr>
        <w:spacing w:line="400" w:lineRule="exact"/>
        <w:rPr>
          <w:rFonts w:ascii="宋体" w:hAnsi="宋体" w:cs="宋体"/>
          <w:bCs/>
          <w:szCs w:val="21"/>
        </w:rPr>
      </w:pPr>
      <w:r>
        <w:rPr>
          <w:rFonts w:hint="eastAsia" w:ascii="宋体" w:hAnsi="宋体" w:cs="宋体"/>
          <w:b/>
          <w:bCs/>
          <w:szCs w:val="21"/>
        </w:rPr>
        <w:t xml:space="preserve">付鹏  </w:t>
      </w:r>
      <w:r>
        <w:rPr>
          <w:rFonts w:hint="eastAsia" w:ascii="宋体" w:hAnsi="宋体" w:cs="宋体"/>
          <w:bCs/>
          <w:szCs w:val="21"/>
        </w:rPr>
        <w:t>联系方式：fupeng@ouc.edu.cn</w:t>
      </w:r>
    </w:p>
    <w:p>
      <w:pPr>
        <w:spacing w:line="400" w:lineRule="exact"/>
        <w:rPr>
          <w:kern w:val="0"/>
          <w:szCs w:val="21"/>
        </w:rPr>
      </w:pPr>
      <w:r>
        <w:rPr>
          <w:rFonts w:hint="eastAsia" w:ascii="宋体" w:hAnsi="宋体" w:cs="宋体"/>
          <w:b/>
          <w:bCs/>
          <w:szCs w:val="21"/>
        </w:rPr>
        <w:t>招生专业：</w:t>
      </w:r>
      <w:r>
        <w:rPr>
          <w:rFonts w:hint="eastAsia"/>
          <w:kern w:val="0"/>
          <w:szCs w:val="21"/>
        </w:rPr>
        <w:t>药物化学</w:t>
      </w:r>
    </w:p>
    <w:p>
      <w:pPr>
        <w:spacing w:line="400" w:lineRule="exact"/>
        <w:rPr>
          <w:kern w:val="0"/>
          <w:szCs w:val="21"/>
        </w:rPr>
      </w:pPr>
      <w:r>
        <w:rPr>
          <w:rFonts w:hint="eastAsia" w:ascii="宋体" w:hAnsi="宋体" w:cs="宋体"/>
          <w:b/>
          <w:bCs/>
          <w:szCs w:val="21"/>
        </w:rPr>
        <w:t>主要</w:t>
      </w:r>
      <w:r>
        <w:rPr>
          <w:rFonts w:ascii="宋体" w:hAnsi="宋体" w:cs="宋体"/>
          <w:b/>
          <w:bCs/>
          <w:szCs w:val="21"/>
        </w:rPr>
        <w:t>研究方向</w:t>
      </w:r>
      <w:r>
        <w:rPr>
          <w:rFonts w:hint="eastAsia" w:ascii="宋体" w:hAnsi="宋体" w:cs="宋体"/>
          <w:b/>
          <w:bCs/>
          <w:szCs w:val="21"/>
        </w:rPr>
        <w:t>：</w:t>
      </w:r>
      <w:r>
        <w:rPr>
          <w:rFonts w:hint="eastAsia"/>
          <w:kern w:val="0"/>
          <w:szCs w:val="21"/>
        </w:rPr>
        <w:t>海洋放线菌天然药物化学。</w:t>
      </w:r>
    </w:p>
    <w:p>
      <w:pPr>
        <w:spacing w:line="400" w:lineRule="exact"/>
        <w:rPr>
          <w:kern w:val="0"/>
          <w:szCs w:val="21"/>
        </w:rPr>
      </w:pPr>
      <w:r>
        <w:rPr>
          <w:rFonts w:hint="eastAsia" w:ascii="宋体" w:hAnsi="宋体" w:cs="宋体"/>
          <w:b/>
          <w:bCs/>
          <w:szCs w:val="21"/>
        </w:rPr>
        <w:t>近三年</w:t>
      </w:r>
      <w:r>
        <w:rPr>
          <w:rFonts w:ascii="宋体" w:hAnsi="宋体" w:cs="宋体"/>
          <w:b/>
          <w:bCs/>
          <w:szCs w:val="21"/>
        </w:rPr>
        <w:t>主要研究成果、在研项目及经费</w:t>
      </w:r>
      <w:r>
        <w:rPr>
          <w:rFonts w:hint="eastAsia" w:ascii="宋体" w:hAnsi="宋体" w:cs="宋体"/>
          <w:b/>
          <w:bCs/>
          <w:szCs w:val="21"/>
        </w:rPr>
        <w:t>：</w:t>
      </w:r>
      <w:r>
        <w:rPr>
          <w:rFonts w:hint="eastAsia"/>
          <w:kern w:val="0"/>
          <w:szCs w:val="21"/>
        </w:rPr>
        <w:t>围绕海洋放线菌资源开展功能导向的次级代谢产物研究，从中发现具有潜在药用价值的先导化合物分子，并探索代谢产物生物合成中的化学过程。在</w:t>
      </w:r>
      <w:r>
        <w:rPr>
          <w:rFonts w:hint="eastAsia"/>
          <w:i/>
          <w:szCs w:val="21"/>
        </w:rPr>
        <w:t>Org. Lett., Chem. Eur. J., Org. Chem. Front., J. Nat. Prod.</w:t>
      </w:r>
      <w:r>
        <w:rPr>
          <w:rFonts w:hint="eastAsia"/>
          <w:kern w:val="0"/>
          <w:szCs w:val="21"/>
        </w:rPr>
        <w:t>等本领域主流杂志上发表SCI收录论文40余篇。获中国海洋大学“青年英才工程”第一层次人才计划（80万元）支持，并主持国家自然科学基金青年项目（25万元）及中央高校基本科研业务费专项（50万元）。</w:t>
      </w:r>
    </w:p>
    <w:p>
      <w:pPr>
        <w:numPr>
          <w:ilvl w:val="0"/>
          <w:numId w:val="1"/>
        </w:numPr>
        <w:spacing w:line="360" w:lineRule="exact"/>
        <w:rPr>
          <w:rFonts w:ascii="宋体" w:hAnsi="宋体" w:cs="宋体"/>
          <w:bCs/>
          <w:szCs w:val="21"/>
        </w:rPr>
      </w:pPr>
      <w:r>
        <w:rPr>
          <w:rFonts w:hint="eastAsia" w:ascii="宋体" w:hAnsi="宋体" w:cs="宋体"/>
          <w:b/>
          <w:bCs/>
          <w:szCs w:val="21"/>
        </w:rPr>
        <w:t xml:space="preserve">李明     </w:t>
      </w:r>
      <w:r>
        <w:rPr>
          <w:rFonts w:hint="eastAsia" w:ascii="宋体" w:hAnsi="宋体" w:cs="宋体"/>
          <w:bCs/>
          <w:szCs w:val="21"/>
        </w:rPr>
        <w:t>联系方式： 0532-82032150 ； Email:</w:t>
      </w:r>
      <w:r>
        <w:fldChar w:fldCharType="begin"/>
      </w:r>
      <w:r>
        <w:instrText xml:space="preserve"> HYPERLINK "mailto:lmsnouc@ouc.edu.cn" </w:instrText>
      </w:r>
      <w:r>
        <w:fldChar w:fldCharType="separate"/>
      </w:r>
      <w:r>
        <w:rPr>
          <w:rStyle w:val="16"/>
          <w:rFonts w:hint="eastAsia" w:ascii="宋体" w:hAnsi="宋体" w:cs="宋体"/>
          <w:bCs/>
          <w:color w:val="auto"/>
          <w:szCs w:val="21"/>
        </w:rPr>
        <w:t>lmsnouc@ouc.edu.cn</w:t>
      </w:r>
      <w:r>
        <w:rPr>
          <w:rStyle w:val="16"/>
          <w:rFonts w:hint="eastAsia" w:ascii="宋体" w:hAnsi="宋体" w:cs="宋体"/>
          <w:bCs/>
          <w:color w:val="auto"/>
          <w:szCs w:val="21"/>
        </w:rPr>
        <w:fldChar w:fldCharType="end"/>
      </w:r>
    </w:p>
    <w:p>
      <w:pPr>
        <w:spacing w:line="360" w:lineRule="exact"/>
        <w:rPr>
          <w:rFonts w:ascii="宋体" w:hAnsi="宋体" w:cs="宋体"/>
          <w:bCs/>
          <w:szCs w:val="21"/>
        </w:rPr>
      </w:pPr>
      <w:r>
        <w:rPr>
          <w:rFonts w:hint="eastAsia" w:ascii="宋体" w:hAnsi="宋体" w:cs="宋体"/>
          <w:b/>
          <w:bCs/>
          <w:szCs w:val="21"/>
        </w:rPr>
        <w:t>招生专业：</w:t>
      </w:r>
      <w:r>
        <w:rPr>
          <w:rFonts w:hint="eastAsia"/>
          <w:kern w:val="0"/>
          <w:szCs w:val="21"/>
        </w:rPr>
        <w:t>药物化学</w:t>
      </w:r>
    </w:p>
    <w:p>
      <w:pPr>
        <w:spacing w:line="400" w:lineRule="exact"/>
        <w:rPr>
          <w:rFonts w:ascii="宋体" w:hAnsi="宋体" w:cs="宋体"/>
          <w:b/>
          <w:bCs/>
          <w:szCs w:val="21"/>
        </w:rPr>
      </w:pPr>
      <w:r>
        <w:rPr>
          <w:rFonts w:hint="eastAsia" w:ascii="宋体" w:hAnsi="宋体" w:cs="宋体"/>
          <w:b/>
          <w:bCs/>
          <w:szCs w:val="21"/>
        </w:rPr>
        <w:t>主要研究方向：</w:t>
      </w:r>
      <w:r>
        <w:rPr>
          <w:rFonts w:hint="eastAsia"/>
          <w:kern w:val="0"/>
          <w:szCs w:val="21"/>
        </w:rPr>
        <w:t>（1）糖化学方法学研究；（2）糖类天然产物及糖药物的合成、结构优化及其化学生物学功能的研究和开发。</w:t>
      </w:r>
    </w:p>
    <w:p>
      <w:pPr>
        <w:spacing w:line="400" w:lineRule="exact"/>
        <w:rPr>
          <w:rFonts w:ascii="宋体" w:hAnsi="宋体" w:cs="宋体"/>
          <w:b/>
          <w:bCs/>
          <w:szCs w:val="21"/>
        </w:rPr>
      </w:pPr>
      <w:r>
        <w:rPr>
          <w:rFonts w:hint="eastAsia" w:hAnsi="宋体"/>
          <w:b/>
          <w:kern w:val="0"/>
          <w:szCs w:val="21"/>
        </w:rPr>
        <w:t>近三年主要研究成果、在研项目及经费：</w:t>
      </w:r>
      <w:r>
        <w:rPr>
          <w:rFonts w:hint="eastAsia" w:hAnsi="宋体"/>
          <w:kern w:val="0"/>
          <w:szCs w:val="21"/>
        </w:rPr>
        <w:t>课题组建立了多个糖苷键构建及对糖进行结构改造的新型方法，并完成了系列糖类天然产物和药物分子的合成、结构优化和生物功能的研究。先后在</w:t>
      </w:r>
      <w:r>
        <w:rPr>
          <w:rFonts w:hint="eastAsia"/>
          <w:i/>
          <w:szCs w:val="21"/>
        </w:rPr>
        <w:t>Angew. Chem. Int. Ed.，Org. Lett.，J. Org. Chem.，Org. Biomed. Chem.</w:t>
      </w:r>
      <w:r>
        <w:rPr>
          <w:rFonts w:hint="eastAsia" w:hAnsi="宋体"/>
          <w:kern w:val="0"/>
          <w:szCs w:val="21"/>
        </w:rPr>
        <w:t>等期刊发表</w:t>
      </w:r>
      <w:r>
        <w:rPr>
          <w:rFonts w:hAnsi="宋体"/>
          <w:kern w:val="0"/>
          <w:szCs w:val="21"/>
        </w:rPr>
        <w:t>SCI</w:t>
      </w:r>
      <w:r>
        <w:rPr>
          <w:rFonts w:hint="eastAsia" w:hAnsi="宋体"/>
          <w:kern w:val="0"/>
          <w:szCs w:val="21"/>
        </w:rPr>
        <w:t>收录研究论文</w:t>
      </w:r>
      <w:r>
        <w:rPr>
          <w:rFonts w:hAnsi="宋体"/>
          <w:kern w:val="0"/>
          <w:szCs w:val="21"/>
        </w:rPr>
        <w:t>10</w:t>
      </w:r>
      <w:r>
        <w:rPr>
          <w:rFonts w:hint="eastAsia" w:hAnsi="宋体"/>
          <w:kern w:val="0"/>
          <w:szCs w:val="21"/>
        </w:rPr>
        <w:t>余篇，获得授权国家发明专利</w:t>
      </w:r>
      <w:r>
        <w:rPr>
          <w:rFonts w:hAnsi="宋体"/>
          <w:kern w:val="0"/>
          <w:szCs w:val="21"/>
        </w:rPr>
        <w:t>5</w:t>
      </w:r>
      <w:r>
        <w:rPr>
          <w:rFonts w:hint="eastAsia" w:hAnsi="宋体"/>
          <w:kern w:val="0"/>
          <w:szCs w:val="21"/>
        </w:rPr>
        <w:t>项。目前主持国家自然科学项目2项、山东省科技攻关项目1项；作为骨干参与自然科学基金</w:t>
      </w:r>
      <w:r>
        <w:rPr>
          <w:rFonts w:hAnsi="宋体"/>
          <w:kern w:val="0"/>
          <w:szCs w:val="21"/>
        </w:rPr>
        <w:t>-</w:t>
      </w:r>
      <w:r>
        <w:rPr>
          <w:rFonts w:hint="eastAsia" w:hAnsi="宋体"/>
          <w:kern w:val="0"/>
          <w:szCs w:val="21"/>
        </w:rPr>
        <w:t>山东省联合基金等项目，立项总经费3</w:t>
      </w:r>
      <w:r>
        <w:rPr>
          <w:rFonts w:hAnsi="宋体"/>
          <w:kern w:val="0"/>
          <w:szCs w:val="21"/>
        </w:rPr>
        <w:t>00</w:t>
      </w:r>
      <w:r>
        <w:rPr>
          <w:rFonts w:hint="eastAsia" w:hAnsi="宋体"/>
          <w:kern w:val="0"/>
          <w:szCs w:val="21"/>
        </w:rPr>
        <w:t>余万元。指导研究生多次获得国家奖学金及校优秀学术论文和山东省优秀博士论文。</w:t>
      </w:r>
    </w:p>
    <w:p>
      <w:pPr>
        <w:numPr>
          <w:ilvl w:val="0"/>
          <w:numId w:val="1"/>
        </w:numPr>
        <w:spacing w:line="360" w:lineRule="exact"/>
        <w:jc w:val="left"/>
        <w:rPr>
          <w:rFonts w:ascii="宋体" w:hAnsi="宋体" w:cs="宋体"/>
          <w:b/>
          <w:bCs/>
          <w:szCs w:val="21"/>
        </w:rPr>
      </w:pPr>
      <w:r>
        <w:rPr>
          <w:rFonts w:hint="eastAsia" w:ascii="宋体" w:hAnsi="宋体" w:cs="宋体"/>
          <w:b/>
          <w:bCs/>
          <w:szCs w:val="21"/>
        </w:rPr>
        <w:t xml:space="preserve">李春霞  </w:t>
      </w:r>
      <w:r>
        <w:rPr>
          <w:rFonts w:hint="eastAsia" w:ascii="宋体" w:hAnsi="宋体" w:cs="宋体"/>
          <w:bCs/>
          <w:szCs w:val="21"/>
        </w:rPr>
        <w:t xml:space="preserve"> 联系方式：0532-8203</w:t>
      </w:r>
      <w:r>
        <w:rPr>
          <w:rFonts w:ascii="宋体" w:hAnsi="宋体" w:cs="宋体"/>
          <w:bCs/>
          <w:szCs w:val="21"/>
        </w:rPr>
        <w:t>1631</w:t>
      </w:r>
      <w:r>
        <w:rPr>
          <w:rFonts w:hint="eastAsia" w:ascii="宋体" w:hAnsi="宋体" w:cs="宋体"/>
          <w:bCs/>
          <w:szCs w:val="21"/>
        </w:rPr>
        <w:t xml:space="preserve"> ；Email:lchunxia@ouc.edu.cn</w:t>
      </w:r>
    </w:p>
    <w:p>
      <w:pPr>
        <w:spacing w:line="360" w:lineRule="exact"/>
        <w:rPr>
          <w:rFonts w:ascii="宋体" w:hAnsi="宋体" w:cs="宋体"/>
          <w:bCs/>
          <w:szCs w:val="21"/>
        </w:rPr>
      </w:pPr>
      <w:r>
        <w:rPr>
          <w:rFonts w:hint="eastAsia" w:ascii="宋体" w:hAnsi="宋体" w:cs="宋体"/>
          <w:b/>
          <w:bCs/>
          <w:szCs w:val="21"/>
        </w:rPr>
        <w:t>招生专业：</w:t>
      </w:r>
      <w:r>
        <w:rPr>
          <w:rFonts w:hint="eastAsia"/>
          <w:kern w:val="0"/>
          <w:szCs w:val="21"/>
        </w:rPr>
        <w:t>药物化学</w:t>
      </w:r>
    </w:p>
    <w:p>
      <w:pPr>
        <w:snapToGrid w:val="0"/>
        <w:spacing w:line="400" w:lineRule="exact"/>
        <w:jc w:val="left"/>
        <w:rPr>
          <w:kern w:val="0"/>
          <w:szCs w:val="21"/>
        </w:rPr>
      </w:pPr>
      <w:r>
        <w:rPr>
          <w:rFonts w:hint="eastAsia" w:ascii="宋体" w:hAnsi="宋体" w:cs="宋体"/>
          <w:b/>
          <w:bCs/>
          <w:szCs w:val="21"/>
        </w:rPr>
        <w:t>主要研究方向：</w:t>
      </w:r>
      <w:r>
        <w:rPr>
          <w:rFonts w:hint="eastAsia"/>
          <w:kern w:val="0"/>
          <w:szCs w:val="21"/>
        </w:rPr>
        <w:t>1）</w:t>
      </w:r>
      <w:r>
        <w:rPr>
          <w:kern w:val="0"/>
          <w:szCs w:val="21"/>
        </w:rPr>
        <w:t>海洋糖类药物</w:t>
      </w:r>
      <w:r>
        <w:rPr>
          <w:rFonts w:hint="eastAsia"/>
          <w:kern w:val="0"/>
          <w:szCs w:val="21"/>
        </w:rPr>
        <w:t>、医用材料及</w:t>
      </w:r>
      <w:r>
        <w:rPr>
          <w:kern w:val="0"/>
          <w:szCs w:val="21"/>
        </w:rPr>
        <w:t>及其功能制品的研究与开发</w:t>
      </w:r>
      <w:r>
        <w:rPr>
          <w:rFonts w:hint="eastAsia"/>
          <w:kern w:val="0"/>
          <w:szCs w:val="21"/>
        </w:rPr>
        <w:t>；2）活性</w:t>
      </w:r>
      <w:r>
        <w:rPr>
          <w:kern w:val="0"/>
          <w:szCs w:val="21"/>
        </w:rPr>
        <w:t>天然产物的合成及</w:t>
      </w:r>
      <w:r>
        <w:rPr>
          <w:rFonts w:hint="eastAsia"/>
          <w:kern w:val="0"/>
          <w:szCs w:val="21"/>
        </w:rPr>
        <w:t>其</w:t>
      </w:r>
      <w:r>
        <w:rPr>
          <w:kern w:val="0"/>
          <w:szCs w:val="21"/>
        </w:rPr>
        <w:t>构效关系</w:t>
      </w:r>
      <w:r>
        <w:rPr>
          <w:rFonts w:hint="eastAsia"/>
          <w:kern w:val="0"/>
          <w:szCs w:val="21"/>
        </w:rPr>
        <w:t>的</w:t>
      </w:r>
      <w:r>
        <w:rPr>
          <w:kern w:val="0"/>
          <w:szCs w:val="21"/>
        </w:rPr>
        <w:t>研究</w:t>
      </w:r>
      <w:r>
        <w:rPr>
          <w:rFonts w:hint="eastAsia"/>
          <w:kern w:val="0"/>
          <w:szCs w:val="21"/>
        </w:rPr>
        <w:t>。</w:t>
      </w:r>
    </w:p>
    <w:p>
      <w:pPr>
        <w:snapToGrid w:val="0"/>
        <w:spacing w:before="60" w:line="400" w:lineRule="exact"/>
        <w:rPr>
          <w:kern w:val="0"/>
          <w:szCs w:val="21"/>
        </w:rPr>
      </w:pPr>
      <w:r>
        <w:rPr>
          <w:rFonts w:hint="eastAsia" w:ascii="宋体" w:hAnsi="宋体" w:cs="宋体"/>
          <w:b/>
          <w:bCs/>
          <w:szCs w:val="21"/>
        </w:rPr>
        <w:t>近三年主要研究成果、在研项目及经费：</w:t>
      </w:r>
      <w:r>
        <w:rPr>
          <w:kern w:val="0"/>
          <w:szCs w:val="21"/>
        </w:rPr>
        <w:t>主要从事海洋糖类药物的研究与开发以及海洋先导化合物的结构优化</w:t>
      </w:r>
      <w:r>
        <w:rPr>
          <w:rFonts w:hint="eastAsia"/>
          <w:kern w:val="0"/>
          <w:szCs w:val="21"/>
        </w:rPr>
        <w:t>和构效关系研究</w:t>
      </w:r>
      <w:r>
        <w:rPr>
          <w:kern w:val="0"/>
          <w:szCs w:val="21"/>
        </w:rPr>
        <w:t>。近</w:t>
      </w:r>
      <w:r>
        <w:rPr>
          <w:rFonts w:hint="eastAsia"/>
          <w:kern w:val="0"/>
          <w:szCs w:val="21"/>
        </w:rPr>
        <w:t>三年</w:t>
      </w:r>
      <w:r>
        <w:rPr>
          <w:kern w:val="0"/>
          <w:szCs w:val="21"/>
        </w:rPr>
        <w:t>，在</w:t>
      </w:r>
      <w:r>
        <w:rPr>
          <w:rFonts w:hint="eastAsia"/>
          <w:i/>
          <w:szCs w:val="21"/>
        </w:rPr>
        <w:t>Carbohydr. Polym., Eur. J. Med. Chem., Eur. J. Org. Chem.</w:t>
      </w:r>
      <w:r>
        <w:rPr>
          <w:kern w:val="0"/>
          <w:szCs w:val="21"/>
        </w:rPr>
        <w:t>等国际学术期刊发表SCI收录</w:t>
      </w:r>
      <w:r>
        <w:rPr>
          <w:rFonts w:hint="eastAsia"/>
          <w:kern w:val="0"/>
          <w:szCs w:val="21"/>
        </w:rPr>
        <w:t>论文1</w:t>
      </w:r>
      <w:r>
        <w:rPr>
          <w:kern w:val="0"/>
          <w:szCs w:val="21"/>
        </w:rPr>
        <w:t>6篇；参与编写书籍2部；获得授权国家发明专利5项。</w:t>
      </w:r>
      <w:r>
        <w:rPr>
          <w:rFonts w:hint="eastAsia"/>
          <w:kern w:val="0"/>
          <w:szCs w:val="21"/>
        </w:rPr>
        <w:t>目前主持和参与在研</w:t>
      </w:r>
      <w:r>
        <w:rPr>
          <w:kern w:val="0"/>
          <w:szCs w:val="21"/>
        </w:rPr>
        <w:t>国家海洋局公益专项</w:t>
      </w:r>
      <w:r>
        <w:rPr>
          <w:rFonts w:hint="eastAsia"/>
          <w:kern w:val="0"/>
          <w:szCs w:val="21"/>
        </w:rPr>
        <w:t>、国家自然科学基金委-山东省联合基金项目、山东省和青岛市科技攻关等项目共计5项；立项总经费300余万元。</w:t>
      </w:r>
    </w:p>
    <w:p>
      <w:pPr>
        <w:spacing w:line="400" w:lineRule="exact"/>
      </w:pPr>
      <w:r>
        <w:rPr>
          <w:rFonts w:hint="eastAsia"/>
        </w:rPr>
        <w:t xml:space="preserve">7. </w:t>
      </w:r>
      <w:r>
        <w:rPr>
          <w:rFonts w:hint="eastAsia"/>
          <w:b/>
          <w:szCs w:val="21"/>
        </w:rPr>
        <w:t xml:space="preserve">徐涛  </w:t>
      </w:r>
      <w:r>
        <w:rPr>
          <w:rFonts w:hint="eastAsia"/>
        </w:rPr>
        <w:t>联系方式：</w:t>
      </w:r>
      <w:r>
        <w:fldChar w:fldCharType="begin"/>
      </w:r>
      <w:r>
        <w:instrText xml:space="preserve"> HYPERLINK "mailto:xutao@ouc.edu.cn" </w:instrText>
      </w:r>
      <w:r>
        <w:fldChar w:fldCharType="separate"/>
      </w:r>
      <w:r>
        <w:rPr>
          <w:rStyle w:val="16"/>
          <w:rFonts w:hint="eastAsia"/>
          <w:color w:val="auto"/>
        </w:rPr>
        <w:t>xutao@ouc.edu.cn</w:t>
      </w:r>
      <w:r>
        <w:rPr>
          <w:rStyle w:val="16"/>
          <w:rFonts w:hint="eastAsia"/>
          <w:color w:val="auto"/>
        </w:rPr>
        <w:fldChar w:fldCharType="end"/>
      </w:r>
    </w:p>
    <w:p>
      <w:pPr>
        <w:spacing w:line="400" w:lineRule="exact"/>
      </w:pPr>
      <w:r>
        <w:rPr>
          <w:rFonts w:hint="eastAsia" w:hAnsi="宋体"/>
          <w:b/>
          <w:kern w:val="0"/>
          <w:szCs w:val="21"/>
        </w:rPr>
        <w:t>招生专业：</w:t>
      </w:r>
      <w:r>
        <w:rPr>
          <w:rFonts w:hint="eastAsia"/>
        </w:rPr>
        <w:t>药物化学</w:t>
      </w:r>
    </w:p>
    <w:p>
      <w:pPr>
        <w:spacing w:line="400" w:lineRule="exact"/>
        <w:rPr>
          <w:szCs w:val="21"/>
        </w:rPr>
      </w:pPr>
      <w:r>
        <w:rPr>
          <w:rFonts w:hAnsi="宋体"/>
          <w:b/>
          <w:kern w:val="0"/>
          <w:szCs w:val="21"/>
        </w:rPr>
        <w:t>研究方向</w:t>
      </w:r>
      <w:r>
        <w:rPr>
          <w:rFonts w:hint="eastAsia" w:hAnsi="宋体"/>
          <w:b/>
          <w:kern w:val="0"/>
          <w:szCs w:val="21"/>
        </w:rPr>
        <w:t>：</w:t>
      </w:r>
      <w:r>
        <w:rPr>
          <w:rFonts w:hint="eastAsia"/>
          <w:szCs w:val="21"/>
        </w:rPr>
        <w:t>过渡金属催化的有机合成方法学及其在活性天然产物全合成中的应用</w:t>
      </w:r>
    </w:p>
    <w:p>
      <w:pPr>
        <w:spacing w:line="400" w:lineRule="exact"/>
        <w:rPr>
          <w:szCs w:val="21"/>
        </w:rPr>
      </w:pPr>
      <w:r>
        <w:rPr>
          <w:rFonts w:hint="eastAsia" w:hAnsi="宋体"/>
          <w:b/>
          <w:kern w:val="0"/>
          <w:szCs w:val="21"/>
        </w:rPr>
        <w:t>近三年</w:t>
      </w:r>
      <w:r>
        <w:rPr>
          <w:rFonts w:hAnsi="宋体"/>
          <w:b/>
          <w:kern w:val="0"/>
          <w:szCs w:val="21"/>
        </w:rPr>
        <w:t>主要研究成果</w:t>
      </w:r>
      <w:r>
        <w:rPr>
          <w:rFonts w:hint="eastAsia" w:hAnsi="宋体"/>
          <w:b/>
          <w:kern w:val="0"/>
          <w:szCs w:val="21"/>
        </w:rPr>
        <w:t>、</w:t>
      </w:r>
      <w:r>
        <w:rPr>
          <w:rFonts w:hAnsi="宋体"/>
          <w:b/>
          <w:kern w:val="0"/>
          <w:szCs w:val="21"/>
        </w:rPr>
        <w:t>在研项目及经费</w:t>
      </w:r>
      <w:r>
        <w:rPr>
          <w:szCs w:val="21"/>
        </w:rPr>
        <w:t>：</w:t>
      </w:r>
      <w:r>
        <w:rPr>
          <w:rFonts w:hint="eastAsia"/>
          <w:szCs w:val="21"/>
        </w:rPr>
        <w:t>“筑峰人才工程”三层次教授，组建了医药学院首个过渡金属催化和海洋天然产物全合成及其成药性开发的研究团队。主持了包括中组部国家“青年千人计划”、NSF-SD联合基金重点项目，“鳌山人才”优秀青年学者项目，山东省泰山学者青年专家计划，青岛市“创新领军人才”计划在内的多项国家级、省部级项目，以简洁高效的复杂环系结构方法学开发为基础，应用于具有重要生理活性的复杂天然产物全合成，进而以其为先导化合物聚焦脂代谢通路介导的抗肿瘤研究。在行业内顶尖学术期刊</w:t>
      </w:r>
      <w:r>
        <w:rPr>
          <w:rFonts w:hint="eastAsia"/>
          <w:i/>
          <w:szCs w:val="21"/>
        </w:rPr>
        <w:t>J. Am. Chem. Soc</w:t>
      </w:r>
      <w:r>
        <w:rPr>
          <w:rFonts w:hint="eastAsia"/>
          <w:szCs w:val="21"/>
        </w:rPr>
        <w:t>，</w:t>
      </w:r>
      <w:r>
        <w:rPr>
          <w:rFonts w:hint="eastAsia"/>
          <w:i/>
          <w:szCs w:val="21"/>
        </w:rPr>
        <w:t>Angewandte Chemie,、Org. Lett.</w:t>
      </w:r>
      <w:r>
        <w:rPr>
          <w:rFonts w:hint="eastAsia"/>
          <w:szCs w:val="21"/>
        </w:rPr>
        <w:t>等发表论文10余篇，，并多次受邀在学术会议上做报告。</w:t>
      </w:r>
    </w:p>
    <w:p>
      <w:pPr>
        <w:spacing w:line="360" w:lineRule="exact"/>
        <w:jc w:val="left"/>
        <w:rPr>
          <w:rFonts w:ascii="宋体" w:hAnsi="宋体" w:cs="宋体"/>
          <w:bCs/>
          <w:szCs w:val="21"/>
        </w:rPr>
      </w:pPr>
      <w:r>
        <w:rPr>
          <w:rFonts w:hint="eastAsia" w:ascii="宋体" w:hAnsi="宋体" w:cs="宋体"/>
          <w:b/>
          <w:szCs w:val="21"/>
        </w:rPr>
        <w:t>8.秦冲</w:t>
      </w:r>
      <w:r>
        <w:rPr>
          <w:rFonts w:hint="eastAsia" w:ascii="宋体" w:hAnsi="宋体" w:cs="宋体"/>
          <w:bCs/>
          <w:szCs w:val="21"/>
        </w:rPr>
        <w:t xml:space="preserve">  </w:t>
      </w:r>
      <w:r>
        <w:rPr>
          <w:rFonts w:hint="eastAsia"/>
        </w:rPr>
        <w:t>联系方式：</w:t>
      </w:r>
      <w:r>
        <w:rPr>
          <w:rFonts w:hint="eastAsia" w:ascii="宋体" w:hAnsi="宋体" w:cs="宋体"/>
          <w:bCs/>
          <w:szCs w:val="21"/>
        </w:rPr>
        <w:t>qc@ouc.edu.cn</w:t>
      </w:r>
    </w:p>
    <w:p>
      <w:pPr>
        <w:spacing w:line="360" w:lineRule="exact"/>
        <w:ind w:left="38" w:leftChars="18"/>
        <w:jc w:val="left"/>
        <w:rPr>
          <w:rFonts w:ascii="宋体" w:hAnsi="宋体" w:cs="宋体"/>
          <w:bCs/>
          <w:szCs w:val="21"/>
        </w:rPr>
      </w:pPr>
      <w:r>
        <w:rPr>
          <w:rFonts w:hint="eastAsia" w:ascii="宋体" w:hAnsi="宋体" w:cs="宋体"/>
          <w:b/>
          <w:szCs w:val="21"/>
        </w:rPr>
        <w:t>招生专业</w:t>
      </w:r>
      <w:r>
        <w:rPr>
          <w:rFonts w:hint="eastAsia" w:ascii="宋体" w:hAnsi="宋体" w:cs="宋体"/>
          <w:bCs/>
          <w:szCs w:val="21"/>
        </w:rPr>
        <w:t>：药物化学</w:t>
      </w:r>
    </w:p>
    <w:p>
      <w:pPr>
        <w:spacing w:line="360" w:lineRule="exact"/>
        <w:ind w:left="38" w:leftChars="18"/>
        <w:rPr>
          <w:rFonts w:ascii="宋体" w:hAnsi="宋体" w:cs="宋体"/>
          <w:bCs/>
          <w:szCs w:val="21"/>
        </w:rPr>
      </w:pPr>
      <w:r>
        <w:rPr>
          <w:rFonts w:hint="eastAsia" w:ascii="宋体" w:hAnsi="宋体" w:cs="宋体"/>
          <w:b/>
          <w:szCs w:val="21"/>
        </w:rPr>
        <w:t>研究方向</w:t>
      </w:r>
      <w:r>
        <w:rPr>
          <w:rFonts w:hint="eastAsia" w:ascii="宋体" w:hAnsi="宋体" w:cs="宋体"/>
          <w:bCs/>
          <w:szCs w:val="21"/>
        </w:rPr>
        <w:t>：1）基于靶向蛋白降解（PROTACs）技术的小分子先导化合物发现和新药研发；2）小分子免疫调节剂的研究；3）基于海洋天然产物的靶标发现、结构多样性修饰以及作为抗肿瘤药物的研究；4）高效合成技术研究以及在药物化学中的应用。</w:t>
      </w:r>
    </w:p>
    <w:p>
      <w:pPr>
        <w:spacing w:line="360" w:lineRule="exact"/>
        <w:ind w:left="38" w:leftChars="18"/>
        <w:rPr>
          <w:rFonts w:ascii="宋体" w:hAnsi="宋体" w:cs="宋体"/>
          <w:bCs/>
          <w:szCs w:val="21"/>
        </w:rPr>
      </w:pPr>
      <w:r>
        <w:rPr>
          <w:rFonts w:hint="eastAsia" w:ascii="宋体" w:hAnsi="宋体" w:cs="宋体"/>
          <w:b/>
          <w:szCs w:val="21"/>
        </w:rPr>
        <w:t>近三年主要研究成果、在研项目及经费：</w:t>
      </w:r>
      <w:r>
        <w:rPr>
          <w:rFonts w:hint="eastAsia" w:ascii="宋体" w:hAnsi="宋体" w:cs="宋体"/>
          <w:bCs/>
          <w:szCs w:val="21"/>
        </w:rPr>
        <w:t>山东省泰山学者青年专家，“青年英才工程”一层次教授。研究主要集中在药物化学和合成方法学。迄今为止，共发表文章16篇，论文被引用超过600次；在本学科领域TOP期刊</w:t>
      </w:r>
      <w:r>
        <w:rPr>
          <w:rFonts w:hint="eastAsia"/>
          <w:i/>
          <w:szCs w:val="21"/>
        </w:rPr>
        <w:t xml:space="preserve">J. Am. Chem. Soc.、Angew. Chem. Int. </w:t>
      </w:r>
      <w:r>
        <w:rPr>
          <w:rFonts w:hint="eastAsia" w:ascii="宋体" w:hAnsi="宋体" w:cs="宋体"/>
          <w:bCs/>
          <w:szCs w:val="21"/>
        </w:rPr>
        <w:t>Ed.、</w:t>
      </w:r>
      <w:r>
        <w:rPr>
          <w:rFonts w:hint="eastAsia"/>
          <w:i/>
          <w:szCs w:val="21"/>
        </w:rPr>
        <w:t>J. Med. Chem.</w:t>
      </w:r>
      <w:r>
        <w:rPr>
          <w:rFonts w:hint="eastAsia"/>
          <w:szCs w:val="21"/>
        </w:rPr>
        <w:t>等</w:t>
      </w:r>
      <w:r>
        <w:rPr>
          <w:rFonts w:hint="eastAsia" w:ascii="宋体" w:hAnsi="宋体" w:cs="宋体"/>
          <w:bCs/>
          <w:szCs w:val="21"/>
        </w:rPr>
        <w:t>发表论文8篇；主导多个靶向抗癌新药的研发项目，申请新药专利5项；研究成果已授权给美国生物医药公司进行合作转化。获2019年度北京市自然科学一等奖。</w:t>
      </w:r>
    </w:p>
    <w:p>
      <w:pPr>
        <w:snapToGrid w:val="0"/>
        <w:spacing w:line="400" w:lineRule="exact"/>
        <w:ind w:left="38" w:leftChars="18"/>
        <w:jc w:val="left"/>
      </w:pPr>
      <w:r>
        <w:rPr>
          <w:rFonts w:hint="eastAsia" w:ascii="宋体" w:hAnsi="宋体" w:cs="宋体"/>
          <w:bCs/>
          <w:szCs w:val="21"/>
        </w:rPr>
        <w:t>9.</w:t>
      </w:r>
      <w:r>
        <w:rPr>
          <w:rFonts w:hint="eastAsia"/>
          <w:b/>
          <w:szCs w:val="21"/>
        </w:rPr>
        <w:t xml:space="preserve">任为武  </w:t>
      </w:r>
      <w:r>
        <w:rPr>
          <w:rFonts w:hint="eastAsia"/>
        </w:rPr>
        <w:t>联系方式：</w:t>
      </w:r>
      <w:r>
        <w:fldChar w:fldCharType="begin"/>
      </w:r>
      <w:r>
        <w:instrText xml:space="preserve"> HYPERLINK "mailto:xutao@ouc.edu.cn" </w:instrText>
      </w:r>
      <w:r>
        <w:fldChar w:fldCharType="separate"/>
      </w:r>
      <w:r>
        <w:rPr>
          <w:rStyle w:val="16"/>
          <w:rFonts w:hint="eastAsia"/>
          <w:color w:val="auto"/>
        </w:rPr>
        <w:t>renweiwu@ouc.edu.cn</w:t>
      </w:r>
      <w:r>
        <w:rPr>
          <w:rStyle w:val="16"/>
          <w:rFonts w:hint="eastAsia"/>
          <w:color w:val="auto"/>
        </w:rPr>
        <w:fldChar w:fldCharType="end"/>
      </w:r>
    </w:p>
    <w:p>
      <w:pPr>
        <w:snapToGrid w:val="0"/>
        <w:spacing w:line="400" w:lineRule="exact"/>
      </w:pPr>
      <w:r>
        <w:rPr>
          <w:rFonts w:hint="eastAsia" w:hAnsi="宋体"/>
          <w:b/>
          <w:kern w:val="0"/>
          <w:szCs w:val="21"/>
        </w:rPr>
        <w:t>招生专业：</w:t>
      </w:r>
      <w:r>
        <w:rPr>
          <w:rFonts w:hint="eastAsia"/>
        </w:rPr>
        <w:t>药物化学</w:t>
      </w:r>
    </w:p>
    <w:p>
      <w:pPr>
        <w:snapToGrid w:val="0"/>
        <w:spacing w:line="400" w:lineRule="exact"/>
        <w:rPr>
          <w:rFonts w:hAnsi="宋体"/>
          <w:b/>
          <w:kern w:val="0"/>
          <w:szCs w:val="21"/>
        </w:rPr>
      </w:pPr>
      <w:r>
        <w:rPr>
          <w:rFonts w:hAnsi="宋体"/>
          <w:b/>
          <w:kern w:val="0"/>
          <w:szCs w:val="21"/>
        </w:rPr>
        <w:t>研究方向</w:t>
      </w:r>
      <w:r>
        <w:rPr>
          <w:rFonts w:hint="eastAsia" w:hAnsi="宋体"/>
          <w:b/>
          <w:kern w:val="0"/>
          <w:szCs w:val="21"/>
        </w:rPr>
        <w:t>：</w:t>
      </w:r>
      <w:r>
        <w:rPr>
          <w:rFonts w:hint="eastAsia" w:hAnsi="宋体"/>
          <w:kern w:val="0"/>
          <w:szCs w:val="21"/>
        </w:rPr>
        <w:t>1. 活性海洋天然产物的全合成、结构改造及成药性研究；2. 类天然产物和类药性骨架的合成新方法；3. 海洋天然产物以及类似物的生物学功能研究</w:t>
      </w:r>
    </w:p>
    <w:p>
      <w:pPr>
        <w:snapToGrid w:val="0"/>
        <w:spacing w:line="400" w:lineRule="exact"/>
        <w:rPr>
          <w:rFonts w:ascii="宋体" w:hAnsi="宋体" w:cs="宋体"/>
          <w:bCs/>
          <w:szCs w:val="21"/>
        </w:rPr>
      </w:pPr>
      <w:r>
        <w:rPr>
          <w:rFonts w:hint="eastAsia"/>
          <w:b/>
          <w:kern w:val="0"/>
          <w:szCs w:val="21"/>
        </w:rPr>
        <w:t>近三年</w:t>
      </w:r>
      <w:r>
        <w:rPr>
          <w:b/>
          <w:kern w:val="0"/>
          <w:szCs w:val="21"/>
        </w:rPr>
        <w:t>主要研究成果</w:t>
      </w:r>
      <w:r>
        <w:rPr>
          <w:rFonts w:hint="eastAsia"/>
          <w:b/>
          <w:szCs w:val="21"/>
        </w:rPr>
        <w:t>、</w:t>
      </w:r>
      <w:r>
        <w:rPr>
          <w:b/>
          <w:kern w:val="0"/>
          <w:szCs w:val="21"/>
        </w:rPr>
        <w:t>在研项目及经费</w:t>
      </w:r>
      <w:r>
        <w:rPr>
          <w:szCs w:val="21"/>
        </w:rPr>
        <w:t>：</w:t>
      </w:r>
      <w:r>
        <w:rPr>
          <w:rFonts w:hint="eastAsia" w:ascii="宋体" w:hAnsi="宋体" w:cs="宋体"/>
          <w:bCs/>
          <w:szCs w:val="21"/>
        </w:rPr>
        <w:t>“青年英才工程”一层次教授，山东省泰山学者青年专家。研究方向以活性天然产物全合成为核心，涉及萜类、生物碱类、海洋糖苷类天然产物全合成，目前已完成四大天然产物家族的15个天然产物分子的全合成工作。近年来在</w:t>
      </w:r>
      <w:r>
        <w:rPr>
          <w:rFonts w:hint="eastAsia"/>
          <w:i/>
          <w:szCs w:val="21"/>
        </w:rPr>
        <w:t>Nat. Commun.</w:t>
      </w:r>
      <w:r>
        <w:rPr>
          <w:rFonts w:hint="eastAsia" w:ascii="宋体" w:hAnsi="宋体" w:cs="宋体"/>
          <w:bCs/>
          <w:szCs w:val="21"/>
        </w:rPr>
        <w:t>,</w:t>
      </w:r>
      <w:r>
        <w:rPr>
          <w:rFonts w:hint="eastAsia"/>
          <w:i/>
          <w:szCs w:val="21"/>
        </w:rPr>
        <w:t xml:space="preserve"> Angew. Chem. Int. Ed.</w:t>
      </w:r>
      <w:r>
        <w:rPr>
          <w:rFonts w:hint="eastAsia" w:ascii="宋体" w:hAnsi="宋体" w:cs="宋体"/>
          <w:bCs/>
          <w:szCs w:val="21"/>
        </w:rPr>
        <w:t xml:space="preserve">, </w:t>
      </w:r>
      <w:r>
        <w:rPr>
          <w:rFonts w:hint="eastAsia"/>
          <w:i/>
          <w:szCs w:val="21"/>
        </w:rPr>
        <w:t>Chem. Sci.</w:t>
      </w:r>
      <w:r>
        <w:rPr>
          <w:rFonts w:hint="eastAsia" w:ascii="宋体" w:hAnsi="宋体" w:cs="宋体"/>
          <w:bCs/>
          <w:szCs w:val="21"/>
        </w:rPr>
        <w:t>，</w:t>
      </w:r>
      <w:r>
        <w:rPr>
          <w:rFonts w:hint="eastAsia"/>
          <w:i/>
          <w:szCs w:val="21"/>
        </w:rPr>
        <w:t>Org. Lett.</w:t>
      </w:r>
      <w:r>
        <w:rPr>
          <w:rFonts w:hint="eastAsia" w:ascii="宋体" w:hAnsi="宋体" w:cs="宋体"/>
          <w:bCs/>
          <w:szCs w:val="21"/>
        </w:rPr>
        <w:t xml:space="preserve">, </w:t>
      </w:r>
      <w:r>
        <w:rPr>
          <w:rFonts w:hint="eastAsia"/>
          <w:i/>
          <w:szCs w:val="21"/>
          <w:lang w:val="fr-FR"/>
        </w:rPr>
        <w:t>J. Nat. Prod</w:t>
      </w:r>
      <w:r>
        <w:rPr>
          <w:rFonts w:hint="eastAsia" w:ascii="宋体" w:hAnsi="宋体" w:cs="宋体"/>
          <w:bCs/>
          <w:szCs w:val="21"/>
        </w:rPr>
        <w:t>等国际权威期刊发表论文</w:t>
      </w:r>
      <w:r>
        <w:rPr>
          <w:rFonts w:ascii="宋体" w:hAnsi="宋体" w:cs="宋体"/>
          <w:bCs/>
          <w:szCs w:val="21"/>
        </w:rPr>
        <w:t>13</w:t>
      </w:r>
      <w:r>
        <w:rPr>
          <w:rFonts w:hint="eastAsia" w:ascii="宋体" w:hAnsi="宋体" w:cs="宋体"/>
          <w:bCs/>
          <w:szCs w:val="21"/>
        </w:rPr>
        <w:t>篇</w:t>
      </w:r>
      <w:r>
        <w:rPr>
          <w:rFonts w:hint="eastAsia" w:ascii="宋体" w:hAnsi="宋体" w:cs="宋体"/>
          <w:bCs/>
          <w:szCs w:val="21"/>
          <w:lang w:val="fr-FR"/>
        </w:rPr>
        <w:t>，4</w:t>
      </w:r>
      <w:r>
        <w:rPr>
          <w:rFonts w:hint="eastAsia" w:ascii="宋体" w:hAnsi="宋体" w:cs="宋体"/>
          <w:bCs/>
          <w:szCs w:val="21"/>
        </w:rPr>
        <w:t>篇为封面文章</w:t>
      </w:r>
      <w:r>
        <w:rPr>
          <w:rFonts w:hint="eastAsia" w:ascii="宋体" w:hAnsi="宋体" w:cs="宋体"/>
          <w:bCs/>
          <w:szCs w:val="21"/>
          <w:lang w:val="fr-FR"/>
        </w:rPr>
        <w:t>，</w:t>
      </w:r>
      <w:r>
        <w:rPr>
          <w:rFonts w:hint="eastAsia" w:ascii="宋体" w:hAnsi="宋体" w:cs="宋体"/>
          <w:bCs/>
          <w:szCs w:val="21"/>
        </w:rPr>
        <w:t>另有</w:t>
      </w:r>
      <w:r>
        <w:rPr>
          <w:rFonts w:hint="eastAsia" w:ascii="宋体" w:hAnsi="宋体" w:cs="宋体"/>
          <w:bCs/>
          <w:szCs w:val="21"/>
          <w:lang w:val="fr-FR"/>
        </w:rPr>
        <w:t>3</w:t>
      </w:r>
      <w:r>
        <w:rPr>
          <w:rFonts w:hint="eastAsia" w:ascii="宋体" w:hAnsi="宋体" w:cs="宋体"/>
          <w:bCs/>
          <w:szCs w:val="21"/>
        </w:rPr>
        <w:t>篇被选为</w:t>
      </w:r>
      <w:r>
        <w:rPr>
          <w:rFonts w:hint="eastAsia" w:ascii="宋体" w:hAnsi="宋体" w:cs="宋体"/>
          <w:bCs/>
          <w:szCs w:val="21"/>
          <w:lang w:val="fr-FR"/>
        </w:rPr>
        <w:t>VIP</w:t>
      </w:r>
      <w:r>
        <w:rPr>
          <w:rFonts w:hint="eastAsia" w:ascii="宋体" w:hAnsi="宋体" w:cs="宋体"/>
          <w:bCs/>
          <w:szCs w:val="21"/>
        </w:rPr>
        <w:t>文章。担任</w:t>
      </w:r>
      <w:r>
        <w:rPr>
          <w:rFonts w:hint="eastAsia"/>
          <w:i/>
          <w:szCs w:val="21"/>
          <w:lang w:val="fr-FR"/>
        </w:rPr>
        <w:t>Org. Lett., J. Org. Chem.</w:t>
      </w:r>
      <w:r>
        <w:rPr>
          <w:rFonts w:hint="eastAsia" w:ascii="宋体" w:hAnsi="宋体" w:cs="宋体"/>
          <w:bCs/>
          <w:szCs w:val="21"/>
        </w:rPr>
        <w:t>等期刊审稿人。目前主持“青年英才工程”一层次科研基金、山东省泰山学者青年专家基金、青岛海洋科学与技术试点国家实验室创新人才基金。</w:t>
      </w:r>
    </w:p>
    <w:p>
      <w:pPr>
        <w:snapToGrid w:val="0"/>
        <w:spacing w:line="400" w:lineRule="exact"/>
      </w:pPr>
      <w:r>
        <w:rPr>
          <w:rFonts w:hint="eastAsia" w:hAnsi="宋体" w:cs="宋体"/>
          <w:b/>
          <w:szCs w:val="21"/>
        </w:rPr>
        <w:t>10.王勇</w:t>
      </w:r>
      <w:r>
        <w:rPr>
          <w:rFonts w:hint="eastAsia"/>
          <w:b/>
          <w:szCs w:val="21"/>
        </w:rPr>
        <w:t xml:space="preserve"> </w:t>
      </w:r>
      <w:r>
        <w:rPr>
          <w:rFonts w:hint="eastAsia"/>
        </w:rPr>
        <w:t xml:space="preserve">联系方式： 15963655507；Email: </w:t>
      </w:r>
      <w:r>
        <w:fldChar w:fldCharType="begin"/>
      </w:r>
      <w:r>
        <w:instrText xml:space="preserve"> HYPERLINK "mailto:wangyong8866@ouc.edu.cn" </w:instrText>
      </w:r>
      <w:r>
        <w:fldChar w:fldCharType="separate"/>
      </w:r>
      <w:r>
        <w:rPr>
          <w:rStyle w:val="16"/>
          <w:rFonts w:hint="eastAsia"/>
        </w:rPr>
        <w:t>wangyong8866@ouc.edu.cn</w:t>
      </w:r>
      <w:r>
        <w:rPr>
          <w:rStyle w:val="16"/>
          <w:rFonts w:hint="eastAsia"/>
        </w:rPr>
        <w:fldChar w:fldCharType="end"/>
      </w:r>
    </w:p>
    <w:p>
      <w:pPr>
        <w:snapToGrid w:val="0"/>
        <w:spacing w:line="400" w:lineRule="exact"/>
      </w:pPr>
      <w:r>
        <w:rPr>
          <w:rFonts w:hint="eastAsia"/>
          <w:b/>
        </w:rPr>
        <w:t>招生专业：</w:t>
      </w:r>
      <w:r>
        <w:rPr>
          <w:rFonts w:hint="eastAsia"/>
        </w:rPr>
        <w:t>药物化学</w:t>
      </w:r>
    </w:p>
    <w:p>
      <w:pPr>
        <w:snapToGrid w:val="0"/>
        <w:spacing w:line="400" w:lineRule="exact"/>
        <w:rPr>
          <w:szCs w:val="21"/>
        </w:rPr>
      </w:pPr>
      <w:r>
        <w:rPr>
          <w:rFonts w:hint="eastAsia"/>
          <w:b/>
        </w:rPr>
        <w:t>主要研究方向</w:t>
      </w:r>
      <w:r>
        <w:rPr>
          <w:rFonts w:hint="eastAsia"/>
        </w:rPr>
        <w:t>：1. 基于有机金属的药物化学和化学生物学研究；2. 针对肿瘤耐药相关信号通路和靶点的抗癌药物的设计与开发；3. 基于海洋天然产物的靶标发现、结构优化及功能组学研究。</w:t>
      </w:r>
    </w:p>
    <w:p>
      <w:pPr>
        <w:snapToGrid w:val="0"/>
        <w:spacing w:before="60" w:line="400" w:lineRule="exact"/>
        <w:rPr>
          <w:rFonts w:hAnsi="宋体" w:cs="宋体"/>
          <w:bCs/>
          <w:szCs w:val="21"/>
        </w:rPr>
      </w:pPr>
      <w:r>
        <w:rPr>
          <w:rFonts w:hint="eastAsia"/>
          <w:b/>
        </w:rPr>
        <w:t>近三年主要研究成果、在研项目及经费：</w:t>
      </w:r>
      <w:r>
        <w:rPr>
          <w:rFonts w:hint="eastAsia" w:hAnsi="宋体" w:cs="宋体"/>
          <w:bCs/>
          <w:szCs w:val="21"/>
        </w:rPr>
        <w:t>“青年英才计划”一层次教授，在</w:t>
      </w:r>
      <w:r>
        <w:rPr>
          <w:rFonts w:hint="eastAsia" w:hAnsi="宋体" w:cs="宋体"/>
          <w:bCs/>
          <w:i/>
          <w:szCs w:val="21"/>
        </w:rPr>
        <w:t>J. Med. Chem.、Angew. Chem. Int. Ed.、Chem. Sci.</w:t>
      </w:r>
      <w:r>
        <w:rPr>
          <w:rFonts w:hint="eastAsia" w:hAnsi="宋体" w:cs="宋体"/>
          <w:bCs/>
          <w:szCs w:val="21"/>
        </w:rPr>
        <w:t>等国际权威期刊上发表论文16篇，其中3篇封面文章，获得授权专利3项。担任</w:t>
      </w:r>
      <w:r>
        <w:rPr>
          <w:rFonts w:hint="eastAsia" w:hAnsi="宋体" w:cs="宋体"/>
          <w:bCs/>
          <w:i/>
          <w:szCs w:val="21"/>
        </w:rPr>
        <w:t>J. Med. Chem.、Chem. Sci.、RSC advances</w:t>
      </w:r>
      <w:r>
        <w:rPr>
          <w:rFonts w:hint="eastAsia" w:hAnsi="宋体" w:cs="宋体"/>
          <w:bCs/>
          <w:szCs w:val="21"/>
        </w:rPr>
        <w:t>等杂志审稿人。曾与居里研究所等单位联合申请获得了法国国家科研署(ANR)总额为50万欧的资金支持（靶向高级别浆液性卵巢癌的ferrocifen化合物的创新研究项目，NaTeMOc，2019-2022）。目前主持 “青年英才工程”一层次引进人才基金和青岛海洋科学与技术试点国家实验室创新人才引进项目。</w:t>
      </w:r>
    </w:p>
    <w:p>
      <w:pPr>
        <w:snapToGrid w:val="0"/>
        <w:spacing w:line="400" w:lineRule="exact"/>
        <w:rPr>
          <w:szCs w:val="21"/>
        </w:rPr>
      </w:pPr>
      <w:r>
        <w:rPr>
          <w:rFonts w:hint="eastAsia"/>
          <w:b/>
          <w:szCs w:val="21"/>
        </w:rPr>
        <w:t xml:space="preserve">11.邵长伦 </w:t>
      </w:r>
      <w:r>
        <w:rPr>
          <w:rFonts w:hint="eastAsia"/>
          <w:szCs w:val="21"/>
        </w:rPr>
        <w:t xml:space="preserve">联系方式 </w:t>
      </w:r>
      <w:r>
        <w:rPr>
          <w:szCs w:val="21"/>
        </w:rPr>
        <w:t>Email</w:t>
      </w:r>
      <w:r>
        <w:rPr>
          <w:rFonts w:hint="eastAsia"/>
          <w:szCs w:val="21"/>
        </w:rPr>
        <w:t>：</w:t>
      </w:r>
      <w:r>
        <w:rPr>
          <w:szCs w:val="21"/>
        </w:rPr>
        <w:t>shaochanglun@ouc.edu.cn</w:t>
      </w:r>
    </w:p>
    <w:p>
      <w:pPr>
        <w:snapToGrid w:val="0"/>
        <w:spacing w:line="400" w:lineRule="exact"/>
        <w:rPr>
          <w:szCs w:val="21"/>
        </w:rPr>
      </w:pPr>
      <w:r>
        <w:rPr>
          <w:rFonts w:hint="eastAsia"/>
          <w:b/>
          <w:szCs w:val="21"/>
        </w:rPr>
        <w:t>招生专业</w:t>
      </w:r>
      <w:r>
        <w:rPr>
          <w:rFonts w:hint="eastAsia"/>
          <w:szCs w:val="21"/>
        </w:rPr>
        <w:t>：药物化学</w:t>
      </w:r>
    </w:p>
    <w:p>
      <w:pPr>
        <w:snapToGrid w:val="0"/>
        <w:spacing w:line="400" w:lineRule="exact"/>
        <w:rPr>
          <w:szCs w:val="21"/>
        </w:rPr>
      </w:pPr>
      <w:r>
        <w:rPr>
          <w:rFonts w:hint="eastAsia"/>
          <w:b/>
          <w:szCs w:val="21"/>
        </w:rPr>
        <w:t>主要研究方向</w:t>
      </w:r>
      <w:r>
        <w:rPr>
          <w:rFonts w:hint="eastAsia"/>
          <w:szCs w:val="21"/>
        </w:rPr>
        <w:t>：海洋天然药物化学。</w:t>
      </w:r>
    </w:p>
    <w:p>
      <w:pPr>
        <w:snapToGrid w:val="0"/>
        <w:spacing w:line="400" w:lineRule="exact"/>
        <w:rPr>
          <w:szCs w:val="21"/>
        </w:rPr>
      </w:pPr>
      <w:r>
        <w:rPr>
          <w:rFonts w:hint="eastAsia"/>
          <w:b/>
          <w:szCs w:val="21"/>
        </w:rPr>
        <w:t>近三年</w:t>
      </w:r>
      <w:r>
        <w:rPr>
          <w:b/>
          <w:szCs w:val="21"/>
        </w:rPr>
        <w:t>主要研究成果、在研项目及经费</w:t>
      </w:r>
      <w:r>
        <w:rPr>
          <w:rFonts w:hint="eastAsia"/>
          <w:b/>
          <w:szCs w:val="21"/>
        </w:rPr>
        <w:t>：</w:t>
      </w:r>
      <w:r>
        <w:rPr>
          <w:rFonts w:hint="eastAsia"/>
          <w:szCs w:val="21"/>
        </w:rPr>
        <w:t>国家自然科学基金优秀青年基金、教育部</w:t>
      </w:r>
      <w:r>
        <w:rPr>
          <w:szCs w:val="21"/>
        </w:rPr>
        <w:t>“</w:t>
      </w:r>
      <w:r>
        <w:rPr>
          <w:rFonts w:hint="eastAsia"/>
          <w:szCs w:val="21"/>
        </w:rPr>
        <w:t>新世纪优秀人才支持计划</w:t>
      </w:r>
      <w:r>
        <w:rPr>
          <w:szCs w:val="21"/>
        </w:rPr>
        <w:t>”、泰山学者青年专家、山东省自然科学杰出青年基金</w:t>
      </w:r>
      <w:r>
        <w:rPr>
          <w:rFonts w:hint="eastAsia"/>
          <w:szCs w:val="21"/>
        </w:rPr>
        <w:t>获得者，为山东省泰山学者团队核心成员（排名二）。</w:t>
      </w:r>
      <w:r>
        <w:rPr>
          <w:szCs w:val="21"/>
        </w:rPr>
        <w:t>“</w:t>
      </w:r>
      <w:r>
        <w:rPr>
          <w:rFonts w:hint="eastAsia"/>
          <w:szCs w:val="21"/>
        </w:rPr>
        <w:t>筑峰人才工程</w:t>
      </w:r>
      <w:r>
        <w:rPr>
          <w:szCs w:val="21"/>
        </w:rPr>
        <w:t>”</w:t>
      </w:r>
      <w:r>
        <w:rPr>
          <w:rFonts w:hint="eastAsia"/>
          <w:szCs w:val="21"/>
        </w:rPr>
        <w:t>三层次教授。近三年以第一作者或通讯作者在国际学术期刊发表</w:t>
      </w:r>
      <w:r>
        <w:rPr>
          <w:szCs w:val="21"/>
        </w:rPr>
        <w:t>SCI</w:t>
      </w:r>
      <w:r>
        <w:rPr>
          <w:rFonts w:hint="eastAsia"/>
          <w:szCs w:val="21"/>
        </w:rPr>
        <w:t>收录论文</w:t>
      </w:r>
      <w:r>
        <w:rPr>
          <w:szCs w:val="21"/>
        </w:rPr>
        <w:t>10</w:t>
      </w:r>
      <w:r>
        <w:rPr>
          <w:rFonts w:hint="eastAsia"/>
          <w:szCs w:val="21"/>
        </w:rPr>
        <w:t>余篇，授权美国发明专利2项，中国发明专利4项。主持国家自然科学-山东省联合基金重点项目、国家自然科学基金面上项目、泰山学者青年专家项目等。</w:t>
      </w:r>
    </w:p>
    <w:p>
      <w:pPr>
        <w:spacing w:line="400" w:lineRule="exact"/>
      </w:pPr>
      <w:r>
        <w:rPr>
          <w:rFonts w:hint="eastAsia"/>
          <w:b/>
        </w:rPr>
        <w:t>12.赵峡：</w:t>
      </w:r>
      <w:r>
        <w:rPr>
          <w:rFonts w:hint="eastAsia"/>
        </w:rPr>
        <w:t>联系方式：0532-82031560；Email：zhaoxia@ouc.edu.cn；1184748799＠qq.com</w:t>
      </w:r>
    </w:p>
    <w:p>
      <w:pPr>
        <w:spacing w:line="400" w:lineRule="exact"/>
      </w:pPr>
      <w:r>
        <w:rPr>
          <w:rFonts w:hint="eastAsia"/>
          <w:b/>
        </w:rPr>
        <w:t>招生专业</w:t>
      </w:r>
      <w:r>
        <w:rPr>
          <w:rFonts w:hint="eastAsia"/>
        </w:rPr>
        <w:t>：药剂学</w:t>
      </w:r>
    </w:p>
    <w:p>
      <w:pPr>
        <w:spacing w:line="400" w:lineRule="exact"/>
      </w:pPr>
      <w:r>
        <w:rPr>
          <w:b/>
          <w:bCs/>
        </w:rPr>
        <w:t>主要研究方向：</w:t>
      </w:r>
      <w:r>
        <w:t>1、海洋多糖载体纳米药物</w:t>
      </w:r>
      <w:r>
        <w:rPr>
          <w:rFonts w:hint="eastAsia"/>
        </w:rPr>
        <w:t>递送</w:t>
      </w:r>
      <w:r>
        <w:t>系统；2、海洋多糖生物材料；3、糖类创新药物与制剂研究</w:t>
      </w:r>
    </w:p>
    <w:p>
      <w:pPr>
        <w:spacing w:line="400" w:lineRule="exact"/>
      </w:pPr>
      <w:r>
        <w:rPr>
          <w:b/>
          <w:bCs/>
        </w:rPr>
        <w:t>近三年主要研究成果、在研项目及经费：</w:t>
      </w:r>
      <w:r>
        <w:rPr>
          <w:rFonts w:hint="eastAsia"/>
        </w:rPr>
        <w:t>主要从事海洋多糖载体药物递送系统和生物材料研究，主持或参与国家创新药物重大专项、国家“863”计划、国家自然科学基金、国家科技支撑计划等课题近20项；发表学术论文120余篇（SCI收录65篇）；获国家发明专利授权12项；参与《糖药物学》和《海洋天然产物与药物研究开发》等专著的编写。先后获得国家教育部高等学校科学技术发明1等奖、山东省高等学校优秀科研成果1等奖、国家海洋局海洋创新成果2等奖、山东省教学成果2等奖等奖励，目前在研课题经费200万元。</w:t>
      </w:r>
    </w:p>
    <w:p>
      <w:pPr>
        <w:spacing w:line="360" w:lineRule="auto"/>
      </w:pPr>
      <w:r>
        <w:rPr>
          <w:rFonts w:hint="eastAsia"/>
          <w:b/>
          <w:szCs w:val="21"/>
        </w:rPr>
        <w:t xml:space="preserve">13.李延团  </w:t>
      </w:r>
      <w:r>
        <w:rPr>
          <w:rFonts w:hint="eastAsia"/>
        </w:rPr>
        <w:t>联系方式：0532-82031695；</w:t>
      </w:r>
      <w:r>
        <w:t>E-mail</w:t>
      </w:r>
      <w:r>
        <w:rPr>
          <w:rFonts w:hint="eastAsia"/>
        </w:rPr>
        <w:t>：</w:t>
      </w:r>
      <w:r>
        <w:rPr>
          <w:rFonts w:hint="eastAsia"/>
        </w:rPr>
        <w:fldChar w:fldCharType="begin"/>
      </w:r>
      <w:r>
        <w:instrText xml:space="preserve"> HYPERLINK "mailto:yantuanli@ouc.edu.cn" </w:instrText>
      </w:r>
      <w:r>
        <w:rPr>
          <w:rFonts w:hint="eastAsia"/>
        </w:rPr>
        <w:fldChar w:fldCharType="separate"/>
      </w:r>
      <w:r>
        <w:rPr>
          <w:rFonts w:hint="eastAsia"/>
        </w:rPr>
        <w:t>yantuanli@ouc.edu.cn</w:t>
      </w:r>
      <w:r>
        <w:rPr>
          <w:rFonts w:hint="eastAsia"/>
        </w:rPr>
        <w:fldChar w:fldCharType="end"/>
      </w:r>
    </w:p>
    <w:p>
      <w:pPr>
        <w:spacing w:line="360" w:lineRule="auto"/>
      </w:pPr>
      <w:r>
        <w:rPr>
          <w:rFonts w:hint="eastAsia"/>
          <w:b/>
        </w:rPr>
        <w:t>招生专业：</w:t>
      </w:r>
      <w:r>
        <w:rPr>
          <w:rFonts w:hint="eastAsia"/>
        </w:rPr>
        <w:t>药剂学</w:t>
      </w:r>
    </w:p>
    <w:p>
      <w:pPr>
        <w:spacing w:line="360" w:lineRule="auto"/>
      </w:pPr>
      <w:r>
        <w:rPr>
          <w:rFonts w:hint="eastAsia"/>
          <w:b/>
        </w:rPr>
        <w:t>主要研究方向：(</w:t>
      </w:r>
      <w:r>
        <w:rPr>
          <w:b/>
        </w:rPr>
        <w:t xml:space="preserve">1) </w:t>
      </w:r>
      <w:r>
        <w:rPr>
          <w:rFonts w:hint="eastAsia"/>
        </w:rPr>
        <w:t>药物合成化学,</w:t>
      </w:r>
      <w:r>
        <w:rPr>
          <w:b/>
        </w:rPr>
        <w:t xml:space="preserve"> (2)</w:t>
      </w:r>
      <w:r>
        <w:t xml:space="preserve"> </w:t>
      </w:r>
      <w:r>
        <w:rPr>
          <w:rFonts w:hint="eastAsia"/>
        </w:rPr>
        <w:t xml:space="preserve">药物晶体工程研究, </w:t>
      </w:r>
      <w:r>
        <w:rPr>
          <w:rFonts w:hint="eastAsia"/>
          <w:b/>
        </w:rPr>
        <w:t>(3)</w:t>
      </w:r>
      <w:r>
        <w:rPr>
          <w:rFonts w:hint="eastAsia"/>
        </w:rPr>
        <w:t xml:space="preserve"> </w:t>
      </w:r>
      <w:r>
        <w:rPr>
          <w:rFonts w:hint="eastAsia" w:cs="宋体"/>
          <w:kern w:val="0"/>
          <w:szCs w:val="21"/>
        </w:rPr>
        <w:t>药物共结晶策略</w:t>
      </w:r>
      <w:r>
        <w:rPr>
          <w:rFonts w:cs="宋体"/>
          <w:kern w:val="0"/>
          <w:szCs w:val="21"/>
        </w:rPr>
        <w:t>与技术</w:t>
      </w:r>
    </w:p>
    <w:p>
      <w:pPr>
        <w:spacing w:line="276" w:lineRule="auto"/>
      </w:pPr>
      <w:r>
        <w:rPr>
          <w:rFonts w:hint="eastAsia"/>
          <w:b/>
        </w:rPr>
        <w:t>近三年主要研究成果、在研项目及经费：</w:t>
      </w:r>
      <w:r>
        <w:rPr>
          <w:rFonts w:hint="eastAsia"/>
        </w:rPr>
        <w:t>围绕研究方向，先后主持和合作承担“国家863项目”、国家自然科学基金和省部级研究课题，可支配经费200多万元。研究成果先后获省、部级科技奖和教育教学成果奖等10余项；并被授予“全国五一劳动奖章”、“山东省优秀青年知识分子”、“山东省高校十大优秀教师”、“山东省优秀博士学位论文指导奖”和“山东省优秀研究生指导教师”。在药物共结晶策略与技术、新药物晶型的筛选、靶向生物大分子药物、新型拓扑异构酶抑制剂的设计与合成等方面取得了一些新进展。近3年来，以通讯作者在</w:t>
      </w:r>
      <w:r>
        <w:rPr>
          <w:rFonts w:hint="eastAsia"/>
          <w:i/>
        </w:rPr>
        <w:t>Eur. J. Med. Chem.和J. Inorg. Biochem.</w:t>
      </w:r>
      <w:r>
        <w:rPr>
          <w:rFonts w:hint="eastAsia"/>
        </w:rPr>
        <w:t>等国际学术刊物上发表SCI收录论文30余篇, 申请专利10件。</w:t>
      </w:r>
    </w:p>
    <w:p>
      <w:pPr>
        <w:spacing w:line="276" w:lineRule="auto"/>
        <w:rPr>
          <w:szCs w:val="21"/>
        </w:rPr>
      </w:pPr>
      <w:r>
        <w:rPr>
          <w:rFonts w:hint="eastAsia"/>
          <w:b/>
          <w:bCs/>
          <w:szCs w:val="21"/>
        </w:rPr>
        <w:t xml:space="preserve">14.韩 璐    </w:t>
      </w:r>
      <w:r>
        <w:rPr>
          <w:rFonts w:hint="eastAsia"/>
          <w:szCs w:val="21"/>
        </w:rPr>
        <w:t>联系方式</w:t>
      </w:r>
      <w:r>
        <w:t>E-mail</w:t>
      </w:r>
      <w:r>
        <w:rPr>
          <w:rFonts w:hint="eastAsia"/>
        </w:rPr>
        <w:t>：</w:t>
      </w:r>
      <w:r>
        <w:rPr>
          <w:szCs w:val="21"/>
        </w:rPr>
        <w:t>hanlu@ouc.edu.cn</w:t>
      </w:r>
    </w:p>
    <w:p>
      <w:pPr>
        <w:spacing w:line="276" w:lineRule="auto"/>
        <w:rPr>
          <w:szCs w:val="21"/>
        </w:rPr>
      </w:pPr>
      <w:r>
        <w:rPr>
          <w:rFonts w:hint="eastAsia"/>
          <w:b/>
          <w:bCs/>
          <w:szCs w:val="21"/>
        </w:rPr>
        <w:t>招生专业：</w:t>
      </w:r>
      <w:r>
        <w:rPr>
          <w:rFonts w:hint="eastAsia"/>
          <w:szCs w:val="21"/>
        </w:rPr>
        <w:t xml:space="preserve">药剂学  </w:t>
      </w:r>
    </w:p>
    <w:p>
      <w:pPr>
        <w:spacing w:line="276" w:lineRule="auto"/>
        <w:rPr>
          <w:szCs w:val="21"/>
        </w:rPr>
      </w:pPr>
      <w:r>
        <w:rPr>
          <w:rFonts w:hint="eastAsia"/>
          <w:b/>
          <w:bCs/>
          <w:szCs w:val="21"/>
        </w:rPr>
        <w:t>主要研究方向：</w:t>
      </w:r>
      <w:r>
        <w:rPr>
          <w:rFonts w:hint="eastAsia"/>
          <w:szCs w:val="21"/>
        </w:rPr>
        <w:t>智能药物释放系统研究、海洋生物医用材料</w:t>
      </w:r>
    </w:p>
    <w:p>
      <w:pPr>
        <w:spacing w:line="276" w:lineRule="auto"/>
      </w:pPr>
      <w:r>
        <w:rPr>
          <w:rFonts w:hint="eastAsia"/>
          <w:b/>
        </w:rPr>
        <w:t>近三年主要研究成果、在研项目及经费：</w:t>
      </w:r>
      <w:r>
        <w:rPr>
          <w:rFonts w:hint="eastAsia"/>
        </w:rPr>
        <w:t>“青年英才工程”一层次教授。主要从事仿海洋贻贝生多功能水凝胶，仿生生物医用材料表/界面，以及组织工程生物医用材料领域。在</w:t>
      </w:r>
      <w:r>
        <w:rPr>
          <w:rFonts w:hint="eastAsia"/>
          <w:i/>
        </w:rPr>
        <w:t xml:space="preserve">ACS Nano、Adv. Fun. Mater、Angew. Chem. Int. Ed.、Nano Letters、Small </w:t>
      </w:r>
      <w:r>
        <w:rPr>
          <w:rFonts w:hint="eastAsia"/>
        </w:rPr>
        <w:t>等国际权威期刊上发表SCI论文 24篇，其中4 篇入选 ESI 高被引论文；2 篇同时入选A</w:t>
      </w:r>
      <w:r>
        <w:rPr>
          <w:rFonts w:hint="eastAsia"/>
          <w:i/>
        </w:rPr>
        <w:t xml:space="preserve">dv. Fun. Mater与Small </w:t>
      </w:r>
      <w:r>
        <w:rPr>
          <w:rFonts w:hint="eastAsia"/>
        </w:rPr>
        <w:t xml:space="preserve">期刊 2019 年度 Most Accessed Paper；1 篇入选 </w:t>
      </w:r>
      <w:r>
        <w:rPr>
          <w:rFonts w:hint="eastAsia"/>
          <w:i/>
        </w:rPr>
        <w:t xml:space="preserve">Chem. Mater. </w:t>
      </w:r>
      <w:r>
        <w:rPr>
          <w:rFonts w:hint="eastAsia"/>
        </w:rPr>
        <w:t>封面文章。近5年总引用次数达到 1500 余次，单篇最高引用达260余次，H指数 18 （数据来源于Google scholar）。获国家专利4项。多次参加国际国内学术会议并做报告。目前主持国家自然科学基金青年基金以及“青年英才工程”一层次科研基金。立项经费100余万元。</w:t>
      </w:r>
    </w:p>
    <w:p>
      <w:pPr>
        <w:snapToGrid w:val="0"/>
        <w:spacing w:line="400" w:lineRule="exact"/>
        <w:rPr>
          <w:szCs w:val="21"/>
        </w:rPr>
      </w:pPr>
      <w:r>
        <w:rPr>
          <w:rFonts w:hint="eastAsia"/>
          <w:b/>
          <w:szCs w:val="21"/>
        </w:rPr>
        <w:t>15. 王长云</w:t>
      </w:r>
      <w:r>
        <w:rPr>
          <w:rFonts w:hint="eastAsia"/>
          <w:bCs/>
          <w:szCs w:val="21"/>
        </w:rPr>
        <w:t xml:space="preserve"> </w:t>
      </w:r>
      <w:r>
        <w:rPr>
          <w:rFonts w:hint="eastAsia"/>
          <w:szCs w:val="21"/>
        </w:rPr>
        <w:t xml:space="preserve">  联系方式：0532-82031536；changyun@ouc.edu.cn</w:t>
      </w:r>
    </w:p>
    <w:p>
      <w:pPr>
        <w:snapToGrid w:val="0"/>
        <w:spacing w:line="400" w:lineRule="exact"/>
        <w:rPr>
          <w:szCs w:val="21"/>
        </w:rPr>
      </w:pPr>
      <w:r>
        <w:rPr>
          <w:rFonts w:hint="eastAsia" w:hAnsi="宋体"/>
          <w:b/>
          <w:kern w:val="0"/>
          <w:szCs w:val="21"/>
        </w:rPr>
        <w:t>招生专业</w:t>
      </w:r>
      <w:r>
        <w:rPr>
          <w:rFonts w:hint="eastAsia"/>
          <w:szCs w:val="21"/>
        </w:rPr>
        <w:t>：</w:t>
      </w:r>
      <w:r>
        <w:rPr>
          <w:rFonts w:hint="eastAsia"/>
          <w:kern w:val="0"/>
          <w:szCs w:val="21"/>
        </w:rPr>
        <w:t>生药学</w:t>
      </w:r>
    </w:p>
    <w:p>
      <w:pPr>
        <w:snapToGrid w:val="0"/>
        <w:spacing w:line="400" w:lineRule="exact"/>
        <w:rPr>
          <w:szCs w:val="21"/>
        </w:rPr>
      </w:pPr>
      <w:r>
        <w:rPr>
          <w:rFonts w:hint="eastAsia" w:hAnsi="宋体"/>
          <w:b/>
          <w:kern w:val="0"/>
          <w:szCs w:val="21"/>
        </w:rPr>
        <w:t>主要</w:t>
      </w:r>
      <w:r>
        <w:rPr>
          <w:rFonts w:hAnsi="宋体"/>
          <w:b/>
          <w:kern w:val="0"/>
          <w:szCs w:val="21"/>
        </w:rPr>
        <w:t>研究方向</w:t>
      </w:r>
      <w:r>
        <w:rPr>
          <w:rFonts w:hint="eastAsia"/>
          <w:szCs w:val="21"/>
        </w:rPr>
        <w:t>：</w:t>
      </w:r>
      <w:r>
        <w:rPr>
          <w:rFonts w:hint="eastAsia"/>
          <w:kern w:val="0"/>
          <w:szCs w:val="21"/>
        </w:rPr>
        <w:t>海洋天然药物化学，</w:t>
      </w:r>
      <w:r>
        <w:t>海洋</w:t>
      </w:r>
      <w:r>
        <w:rPr>
          <w:rFonts w:hint="eastAsia"/>
        </w:rPr>
        <w:t>药物</w:t>
      </w:r>
      <w:r>
        <w:t>生物</w:t>
      </w:r>
      <w:r>
        <w:rPr>
          <w:rFonts w:hint="eastAsia"/>
        </w:rPr>
        <w:t>学</w:t>
      </w:r>
    </w:p>
    <w:p>
      <w:pPr>
        <w:snapToGrid w:val="0"/>
        <w:spacing w:line="400" w:lineRule="exact"/>
      </w:pPr>
      <w:r>
        <w:rPr>
          <w:rFonts w:hint="eastAsia" w:hAnsi="宋体"/>
          <w:b/>
          <w:kern w:val="0"/>
          <w:szCs w:val="21"/>
        </w:rPr>
        <w:t>近三年</w:t>
      </w:r>
      <w:r>
        <w:rPr>
          <w:rFonts w:hAnsi="宋体"/>
          <w:b/>
          <w:kern w:val="0"/>
          <w:szCs w:val="21"/>
        </w:rPr>
        <w:t>主要研究成果、在研项目及经费</w:t>
      </w:r>
      <w:r>
        <w:rPr>
          <w:rFonts w:hint="eastAsia"/>
          <w:szCs w:val="21"/>
        </w:rPr>
        <w:t>：</w:t>
      </w:r>
      <w:r>
        <w:rPr>
          <w:rFonts w:hint="eastAsia"/>
        </w:rPr>
        <w:t>二级教授，泰山学者特聘专家。针对癌症、感染性疾病等重大疾病，重点开展海洋药用生物及药物先导化合物发现、结构优化与作用机制研究。主持国家重点基金、863主题项目等国家、省部级及国际合作项目30余项；发表论文300余篇，其中在</w:t>
      </w:r>
      <w:r>
        <w:rPr>
          <w:rFonts w:hint="eastAsia"/>
          <w:i/>
        </w:rPr>
        <w:t>Org. Lett., J. Nat. Prod.</w:t>
      </w:r>
      <w:r>
        <w:rPr>
          <w:rFonts w:hint="eastAsia"/>
        </w:rPr>
        <w:t>等国际主流杂志发表SCI收录论文200余篇(近三年60余篇)；主编和参编专著19部；获各类学术奖励8项(2015年获山东省科技进步二等奖1项)；获授权国家发明专利37项和国际专利2项。近三年主持承担国家自然科学基金重点项目1项，面上项目2项，立项经费510万元，并参与国家重点研发计划等项目2项。</w:t>
      </w:r>
    </w:p>
    <w:p>
      <w:pPr>
        <w:snapToGrid w:val="0"/>
        <w:spacing w:line="400" w:lineRule="exact"/>
        <w:rPr>
          <w:szCs w:val="21"/>
        </w:rPr>
      </w:pPr>
      <w:r>
        <w:rPr>
          <w:rFonts w:hint="eastAsia"/>
          <w:b/>
          <w:szCs w:val="21"/>
        </w:rPr>
        <w:t xml:space="preserve">16.李国强 </w:t>
      </w:r>
      <w:r>
        <w:rPr>
          <w:b/>
          <w:szCs w:val="21"/>
        </w:rPr>
        <w:t xml:space="preserve">  </w:t>
      </w:r>
      <w:r>
        <w:rPr>
          <w:rFonts w:hint="eastAsia"/>
          <w:szCs w:val="21"/>
        </w:rPr>
        <w:t>联系方式：</w:t>
      </w:r>
      <w:r>
        <w:fldChar w:fldCharType="begin"/>
      </w:r>
      <w:r>
        <w:instrText xml:space="preserve"> HYPERLINK "mailto:liguoqiang@ouc.edu.cn" </w:instrText>
      </w:r>
      <w:r>
        <w:fldChar w:fldCharType="separate"/>
      </w:r>
      <w:r>
        <w:rPr>
          <w:rStyle w:val="16"/>
          <w:rFonts w:hint="eastAsia"/>
          <w:color w:val="auto"/>
          <w:szCs w:val="21"/>
        </w:rPr>
        <w:t>liguoqiang@ouc.edu.cn</w:t>
      </w:r>
      <w:r>
        <w:rPr>
          <w:rStyle w:val="16"/>
          <w:rFonts w:hint="eastAsia"/>
          <w:color w:val="auto"/>
          <w:szCs w:val="21"/>
        </w:rPr>
        <w:fldChar w:fldCharType="end"/>
      </w:r>
      <w:r>
        <w:rPr>
          <w:rFonts w:hint="eastAsia"/>
          <w:szCs w:val="21"/>
        </w:rPr>
        <w:t>, 13589274685</w:t>
      </w:r>
    </w:p>
    <w:p>
      <w:pPr>
        <w:snapToGrid w:val="0"/>
        <w:spacing w:line="400" w:lineRule="exact"/>
        <w:rPr>
          <w:szCs w:val="21"/>
        </w:rPr>
      </w:pPr>
      <w:r>
        <w:rPr>
          <w:rFonts w:hint="eastAsia" w:hAnsi="宋体"/>
          <w:b/>
          <w:kern w:val="0"/>
          <w:szCs w:val="21"/>
        </w:rPr>
        <w:t>招生专业：</w:t>
      </w:r>
      <w:r>
        <w:rPr>
          <w:rFonts w:hint="eastAsia"/>
          <w:szCs w:val="21"/>
        </w:rPr>
        <w:t>生药学</w:t>
      </w:r>
    </w:p>
    <w:p>
      <w:pPr>
        <w:snapToGrid w:val="0"/>
        <w:spacing w:line="400" w:lineRule="exact"/>
        <w:jc w:val="left"/>
      </w:pPr>
      <w:r>
        <w:rPr>
          <w:rFonts w:hint="eastAsia" w:hAnsi="宋体"/>
          <w:b/>
          <w:kern w:val="0"/>
          <w:szCs w:val="21"/>
        </w:rPr>
        <w:t>主要研究方向：</w:t>
      </w:r>
      <w:r>
        <w:rPr>
          <w:rFonts w:hint="eastAsia"/>
        </w:rPr>
        <w:t>1）海洋动植物及共附生微生物天然产物化学；2）先导化合物结构修饰与构效关系；3）海洋中药标准物质与质量标准研究。</w:t>
      </w:r>
    </w:p>
    <w:p>
      <w:pPr>
        <w:snapToGrid w:val="0"/>
        <w:spacing w:line="400" w:lineRule="exact"/>
      </w:pPr>
      <w:r>
        <w:rPr>
          <w:rFonts w:hint="eastAsia" w:hAnsi="宋体"/>
          <w:b/>
          <w:kern w:val="0"/>
          <w:szCs w:val="21"/>
        </w:rPr>
        <w:t>近三年主要研究成果、在研项目及经费</w:t>
      </w:r>
      <w:r>
        <w:rPr>
          <w:rFonts w:hint="eastAsia"/>
        </w:rPr>
        <w:t>：聚焦远海西沙群岛海绵、软珊瑚及共附生微生物资源，完成数十种海绵、珊瑚次级代谢产物及生物活性研究，构建了西沙群岛海绵、软珊瑚及共附生微生物资源库，发现了一批新颖骨架活性先导化合物，在本领域高影响学术期刊</w:t>
      </w:r>
      <w:r>
        <w:rPr>
          <w:rFonts w:hint="eastAsia"/>
          <w:i/>
        </w:rPr>
        <w:t>Organic Letters、JNP、Steroids</w:t>
      </w:r>
      <w:r>
        <w:rPr>
          <w:rFonts w:hint="eastAsia"/>
        </w:rPr>
        <w:t>等发表SCI论文60余篇；目前承担国家基金、国家基金山东联合基金重点项目、科技部重点研发计划专项项目课题、中泰国际合作项目等，研究经费600余万元。</w:t>
      </w:r>
    </w:p>
    <w:p>
      <w:pPr>
        <w:spacing w:line="440" w:lineRule="exact"/>
      </w:pPr>
      <w:r>
        <w:rPr>
          <w:rFonts w:hint="eastAsia"/>
          <w:b/>
          <w:szCs w:val="21"/>
        </w:rPr>
        <w:t xml:space="preserve">17.李平林 </w:t>
      </w:r>
      <w:r>
        <w:rPr>
          <w:rFonts w:hint="eastAsia"/>
        </w:rPr>
        <w:t>联系方式：</w:t>
      </w:r>
      <w:r>
        <w:fldChar w:fldCharType="begin"/>
      </w:r>
      <w:r>
        <w:instrText xml:space="preserve"> HYPERLINK "mailto:lipinglin@ouc.edu.cn" </w:instrText>
      </w:r>
      <w:r>
        <w:fldChar w:fldCharType="separate"/>
      </w:r>
      <w:r>
        <w:rPr>
          <w:rStyle w:val="16"/>
          <w:rFonts w:hint="eastAsia"/>
          <w:color w:val="auto"/>
        </w:rPr>
        <w:t>lipinglin@ouc.edu.cn</w:t>
      </w:r>
      <w:r>
        <w:rPr>
          <w:rStyle w:val="16"/>
          <w:rFonts w:hint="eastAsia"/>
          <w:color w:val="auto"/>
        </w:rPr>
        <w:fldChar w:fldCharType="end"/>
      </w:r>
    </w:p>
    <w:p>
      <w:pPr>
        <w:spacing w:line="400" w:lineRule="exact"/>
      </w:pPr>
      <w:r>
        <w:rPr>
          <w:rFonts w:hint="eastAsia"/>
          <w:b/>
          <w:szCs w:val="21"/>
        </w:rPr>
        <w:t>招生专业：</w:t>
      </w:r>
      <w:r>
        <w:rPr>
          <w:rFonts w:hint="eastAsia"/>
        </w:rPr>
        <w:t>生药学</w:t>
      </w:r>
    </w:p>
    <w:p>
      <w:pPr>
        <w:spacing w:line="400" w:lineRule="exact"/>
        <w:rPr>
          <w:b/>
          <w:szCs w:val="21"/>
        </w:rPr>
      </w:pPr>
      <w:r>
        <w:rPr>
          <w:b/>
          <w:szCs w:val="21"/>
        </w:rPr>
        <w:t>研究方向</w:t>
      </w:r>
      <w:r>
        <w:rPr>
          <w:rFonts w:hint="eastAsia"/>
          <w:b/>
          <w:szCs w:val="21"/>
        </w:rPr>
        <w:t>：</w:t>
      </w:r>
      <w:r>
        <w:rPr>
          <w:rFonts w:hint="eastAsia"/>
          <w:szCs w:val="21"/>
        </w:rPr>
        <w:t>主要从事海洋大型底栖生物（珊瑚、海绵等）共生体中新颖海洋活性模板分子的发掘、结构鉴定与优化、及其构-效关系等研究。</w:t>
      </w:r>
    </w:p>
    <w:p>
      <w:pPr>
        <w:spacing w:line="400" w:lineRule="exact"/>
        <w:rPr>
          <w:szCs w:val="21"/>
        </w:rPr>
      </w:pPr>
      <w:r>
        <w:rPr>
          <w:rFonts w:hint="eastAsia"/>
          <w:b/>
          <w:szCs w:val="21"/>
        </w:rPr>
        <w:t>近三年</w:t>
      </w:r>
      <w:r>
        <w:rPr>
          <w:b/>
          <w:szCs w:val="21"/>
        </w:rPr>
        <w:t>主要研究成果在研项目及经费</w:t>
      </w:r>
      <w:r>
        <w:rPr>
          <w:rFonts w:hint="eastAsia"/>
          <w:b/>
          <w:szCs w:val="21"/>
        </w:rPr>
        <w:t>：</w:t>
      </w:r>
      <w:r>
        <w:rPr>
          <w:rFonts w:hint="eastAsia"/>
        </w:rPr>
        <w:t>国家自然科学基金优秀青年基金、山东省自然科学杰出青年基金获得者，入选海洋国家实验室“鳌山人才”优秀青年学者。在</w:t>
      </w:r>
      <w:r>
        <w:rPr>
          <w:rFonts w:hint="eastAsia"/>
          <w:i/>
        </w:rPr>
        <w:t>Organic Letters，J. Org. Chem，Scientific Reports</w:t>
      </w:r>
      <w:r>
        <w:rPr>
          <w:rFonts w:hint="eastAsia"/>
        </w:rPr>
        <w:t>等发表SCI论文11篇。主持国家自然科学基金面上项目、“优青项目”、863子课题等国家级课题4项，省部级及其它项目2项。科研经费300余万元。</w:t>
      </w:r>
    </w:p>
    <w:p>
      <w:pPr>
        <w:spacing w:line="440" w:lineRule="exact"/>
        <w:rPr>
          <w:szCs w:val="21"/>
        </w:rPr>
      </w:pPr>
      <w:r>
        <w:rPr>
          <w:rFonts w:hint="eastAsia"/>
          <w:b/>
          <w:szCs w:val="21"/>
        </w:rPr>
        <w:t xml:space="preserve">18.毛文君 </w:t>
      </w:r>
      <w:r>
        <w:rPr>
          <w:rFonts w:hint="eastAsia"/>
          <w:szCs w:val="21"/>
        </w:rPr>
        <w:t>联系方式：</w:t>
      </w:r>
      <w:r>
        <w:rPr>
          <w:szCs w:val="21"/>
        </w:rPr>
        <w:t>0532</w:t>
      </w:r>
      <w:r>
        <w:rPr>
          <w:rFonts w:hint="eastAsia"/>
          <w:szCs w:val="21"/>
        </w:rPr>
        <w:t>－</w:t>
      </w:r>
      <w:r>
        <w:rPr>
          <w:szCs w:val="21"/>
        </w:rPr>
        <w:t>82031560</w:t>
      </w:r>
      <w:r>
        <w:rPr>
          <w:rFonts w:hint="eastAsia"/>
          <w:szCs w:val="21"/>
        </w:rPr>
        <w:t>；</w:t>
      </w:r>
      <w:r>
        <w:rPr>
          <w:szCs w:val="21"/>
        </w:rPr>
        <w:t xml:space="preserve"> Email</w:t>
      </w:r>
      <w:r>
        <w:rPr>
          <w:rFonts w:hint="eastAsia"/>
          <w:szCs w:val="21"/>
        </w:rPr>
        <w:t>：</w:t>
      </w:r>
      <w:r>
        <w:rPr>
          <w:szCs w:val="21"/>
        </w:rPr>
        <w:fldChar w:fldCharType="begin"/>
      </w:r>
      <w:r>
        <w:rPr>
          <w:szCs w:val="21"/>
        </w:rPr>
        <w:instrText xml:space="preserve"> HYPERLINK "mailto:wenjunm@ouc.edu.cn" </w:instrText>
      </w:r>
      <w:r>
        <w:rPr>
          <w:szCs w:val="21"/>
        </w:rPr>
        <w:fldChar w:fldCharType="separate"/>
      </w:r>
      <w:r>
        <w:t>wenjunm@ouc.edu.cn</w:t>
      </w:r>
      <w:r>
        <w:rPr>
          <w:szCs w:val="21"/>
        </w:rPr>
        <w:fldChar w:fldCharType="end"/>
      </w:r>
    </w:p>
    <w:p>
      <w:pPr>
        <w:spacing w:line="440" w:lineRule="exact"/>
        <w:rPr>
          <w:b/>
          <w:szCs w:val="21"/>
        </w:rPr>
      </w:pPr>
      <w:r>
        <w:rPr>
          <w:rFonts w:hint="eastAsia"/>
          <w:b/>
          <w:szCs w:val="21"/>
        </w:rPr>
        <w:t>招生专业：</w:t>
      </w:r>
      <w:r>
        <w:rPr>
          <w:rFonts w:hint="eastAsia"/>
          <w:szCs w:val="21"/>
        </w:rPr>
        <w:t>生药学</w:t>
      </w:r>
    </w:p>
    <w:p>
      <w:pPr>
        <w:spacing w:line="400" w:lineRule="exact"/>
        <w:rPr>
          <w:rFonts w:ascii="宋体" w:hAnsi="宋体"/>
          <w:bCs/>
          <w:szCs w:val="21"/>
        </w:rPr>
      </w:pPr>
      <w:r>
        <w:rPr>
          <w:rFonts w:hint="eastAsia"/>
          <w:b/>
        </w:rPr>
        <w:t>主要研究方向</w:t>
      </w:r>
      <w:r>
        <w:rPr>
          <w:rFonts w:hint="eastAsia" w:hAnsi="宋体"/>
          <w:szCs w:val="21"/>
        </w:rPr>
        <w:t>：</w:t>
      </w:r>
      <w:r>
        <w:rPr>
          <w:rFonts w:hint="eastAsia" w:ascii="宋体" w:hAnsi="宋体"/>
          <w:bCs/>
          <w:szCs w:val="21"/>
        </w:rPr>
        <w:t>聚焦以海洋生物资源为主的新糖源发现、糖链结构和构效关系研究</w:t>
      </w:r>
    </w:p>
    <w:p>
      <w:pPr>
        <w:spacing w:line="400" w:lineRule="exact"/>
      </w:pPr>
      <w:r>
        <w:rPr>
          <w:rFonts w:hint="eastAsia"/>
          <w:b/>
        </w:rPr>
        <w:t>近三年主要研究成果、在研项目及经费</w:t>
      </w:r>
      <w:r>
        <w:rPr>
          <w:rFonts w:hint="eastAsia" w:hAnsi="宋体"/>
          <w:szCs w:val="21"/>
        </w:rPr>
        <w:t>：</w:t>
      </w:r>
      <w:r>
        <w:rPr>
          <w:rFonts w:hint="eastAsia"/>
        </w:rPr>
        <w:t>从海藻和不同生境海洋微生物中发现了一批结构新颖、具有显著抗凝血、抗病毒、抗糖尿病及抗氧化活性的海洋多糖和寡糖。近年来完成了国家自然科学基金、国家科技支撑计划、国家重大创新药物专项、山东省科技发展计划和山东省自然科学基金等研究项目。在</w:t>
      </w:r>
      <w:r>
        <w:rPr>
          <w:rFonts w:hint="eastAsia"/>
          <w:i/>
        </w:rPr>
        <w:t>Bioresour Technol, CarbohydrPolym, Mar Biotechnol</w:t>
      </w:r>
      <w:r>
        <w:rPr>
          <w:rFonts w:hint="eastAsia"/>
        </w:rPr>
        <w:t>等国际权威杂志上发表论文60余篇，参编专著5部，获得国家发明专利3项，获国家技术发明一等奖、教育部高等学校科学技术发明一等奖、山东省科学技术进步二等奖、山东省科学技术进步三等奖和青岛市科学技术进步二等奖等多项科技奖励。现主持和承担国家自然科学基金、山东省科技发展计划、国家自然科学基金委员会-山东省人民政府联合资助海洋科学研究中心项目、国家重点研发计划等多个项目，在研课题经费约200万元。</w:t>
      </w:r>
    </w:p>
    <w:p>
      <w:pPr>
        <w:spacing w:line="440" w:lineRule="exact"/>
        <w:rPr>
          <w:szCs w:val="21"/>
        </w:rPr>
      </w:pPr>
      <w:r>
        <w:rPr>
          <w:rFonts w:hint="eastAsia"/>
          <w:b/>
          <w:szCs w:val="21"/>
        </w:rPr>
        <w:t>19.刘红兵</w:t>
      </w:r>
      <w:r>
        <w:rPr>
          <w:rFonts w:hint="eastAsia"/>
          <w:szCs w:val="21"/>
        </w:rPr>
        <w:t xml:space="preserve"> 联系方式：</w:t>
      </w:r>
      <w:r>
        <w:rPr>
          <w:szCs w:val="21"/>
        </w:rPr>
        <w:t>0532</w:t>
      </w:r>
      <w:r>
        <w:rPr>
          <w:rFonts w:hint="eastAsia"/>
          <w:szCs w:val="21"/>
        </w:rPr>
        <w:t>-</w:t>
      </w:r>
      <w:r>
        <w:rPr>
          <w:szCs w:val="21"/>
        </w:rPr>
        <w:t>82031823</w:t>
      </w:r>
      <w:r>
        <w:rPr>
          <w:rFonts w:hint="eastAsia"/>
          <w:szCs w:val="21"/>
        </w:rPr>
        <w:t>；</w:t>
      </w:r>
      <w:r>
        <w:rPr>
          <w:szCs w:val="21"/>
        </w:rPr>
        <w:t xml:space="preserve"> Email</w:t>
      </w:r>
      <w:r>
        <w:rPr>
          <w:rFonts w:hint="eastAsia"/>
          <w:szCs w:val="21"/>
        </w:rPr>
        <w:t>：</w:t>
      </w:r>
      <w:r>
        <w:rPr>
          <w:szCs w:val="21"/>
        </w:rPr>
        <w:fldChar w:fldCharType="begin"/>
      </w:r>
      <w:r>
        <w:rPr>
          <w:szCs w:val="21"/>
        </w:rPr>
        <w:instrText xml:space="preserve"> HYPERLINK "mailto:</w:instrText>
      </w:r>
      <w:r>
        <w:rPr>
          <w:rFonts w:hint="eastAsia"/>
          <w:szCs w:val="21"/>
        </w:rPr>
        <w:instrText xml:space="preserve">liuhongb</w:instrText>
      </w:r>
      <w:r>
        <w:rPr>
          <w:szCs w:val="21"/>
        </w:rPr>
        <w:instrText xml:space="preserve">@ouc.edu.cn" </w:instrText>
      </w:r>
      <w:r>
        <w:rPr>
          <w:szCs w:val="21"/>
        </w:rPr>
        <w:fldChar w:fldCharType="separate"/>
      </w:r>
      <w:r>
        <w:rPr>
          <w:rFonts w:hint="eastAsia"/>
        </w:rPr>
        <w:t>liuhongb</w:t>
      </w:r>
      <w:r>
        <w:t>@ouc.edu.cn</w:t>
      </w:r>
      <w:r>
        <w:rPr>
          <w:szCs w:val="21"/>
        </w:rPr>
        <w:fldChar w:fldCharType="end"/>
      </w:r>
    </w:p>
    <w:p>
      <w:pPr>
        <w:spacing w:line="440" w:lineRule="exact"/>
        <w:rPr>
          <w:b/>
          <w:szCs w:val="21"/>
        </w:rPr>
      </w:pPr>
      <w:r>
        <w:rPr>
          <w:rFonts w:hint="eastAsia"/>
          <w:b/>
          <w:szCs w:val="21"/>
        </w:rPr>
        <w:t>招生专业：</w:t>
      </w:r>
      <w:r>
        <w:rPr>
          <w:rFonts w:hint="eastAsia"/>
          <w:szCs w:val="21"/>
        </w:rPr>
        <w:t>生药学</w:t>
      </w:r>
    </w:p>
    <w:p>
      <w:pPr>
        <w:snapToGrid w:val="0"/>
        <w:spacing w:line="400" w:lineRule="exact"/>
        <w:rPr>
          <w:b/>
          <w:bCs/>
          <w:szCs w:val="21"/>
        </w:rPr>
      </w:pPr>
      <w:r>
        <w:rPr>
          <w:rFonts w:hint="eastAsia"/>
          <w:b/>
          <w:bCs/>
          <w:szCs w:val="21"/>
        </w:rPr>
        <w:t>主要</w:t>
      </w:r>
      <w:r>
        <w:rPr>
          <w:b/>
          <w:bCs/>
          <w:szCs w:val="21"/>
        </w:rPr>
        <w:t>研究方向</w:t>
      </w:r>
      <w:r>
        <w:rPr>
          <w:rFonts w:hint="eastAsia"/>
          <w:b/>
          <w:bCs/>
          <w:szCs w:val="21"/>
        </w:rPr>
        <w:t>：</w:t>
      </w:r>
      <w:r>
        <w:rPr>
          <w:rFonts w:hint="eastAsia"/>
          <w:szCs w:val="21"/>
        </w:rPr>
        <w:t>海洋中药药效物质与质量评价；海洋中药新品种的研究开发</w:t>
      </w:r>
    </w:p>
    <w:p>
      <w:pPr>
        <w:snapToGrid w:val="0"/>
        <w:spacing w:line="400" w:lineRule="exact"/>
      </w:pPr>
      <w:r>
        <w:rPr>
          <w:rFonts w:hint="eastAsia"/>
          <w:b/>
          <w:bCs/>
          <w:szCs w:val="21"/>
        </w:rPr>
        <w:t>近三年</w:t>
      </w:r>
      <w:r>
        <w:rPr>
          <w:b/>
          <w:bCs/>
          <w:szCs w:val="21"/>
        </w:rPr>
        <w:t>主要研究成果、在研项目及经费</w:t>
      </w:r>
      <w:r>
        <w:rPr>
          <w:rFonts w:hint="eastAsia"/>
          <w:b/>
          <w:bCs/>
          <w:szCs w:val="21"/>
        </w:rPr>
        <w:t>：</w:t>
      </w:r>
      <w:r>
        <w:rPr>
          <w:rFonts w:hint="eastAsia"/>
        </w:rPr>
        <w:t>针对代谢综合征、阿尔茨海默症、肿瘤等重大疾病，重点开展海洋中药的药效物质基础和质量评价研究，研发海洋中药新药与保健食品。近三年来在</w:t>
      </w:r>
      <w:r>
        <w:rPr>
          <w:rFonts w:hint="eastAsia"/>
          <w:i/>
        </w:rPr>
        <w:t>中草药、Int J Mol Sci、Sci Rep</w:t>
      </w:r>
      <w:r>
        <w:rPr>
          <w:rFonts w:hint="eastAsia"/>
        </w:rPr>
        <w:t>等国内外学术刊物发表论文12篇，获授权国家发明专利2项，PCT专利1项。目前主持国家自然科学基金面上项目1项（66万元）、山东省重大科技创新工程专项项目1项（300万元），山东省自然科学基金面上项目1项（18万元），青岛市海洋生物医药科技创新中心项目1项（180万元），青岛市生物医药科学研究智库联合基金项目1项（60万元）。</w:t>
      </w:r>
    </w:p>
    <w:p>
      <w:pPr>
        <w:snapToGrid w:val="0"/>
        <w:spacing w:line="400" w:lineRule="exact"/>
      </w:pPr>
      <w:r>
        <w:rPr>
          <w:rFonts w:hint="eastAsia"/>
          <w:b/>
          <w:bCs/>
        </w:rPr>
        <w:t>20.于广利</w:t>
      </w:r>
      <w:r>
        <w:rPr>
          <w:rFonts w:hint="eastAsia"/>
          <w:b/>
        </w:rPr>
        <w:t xml:space="preserve"> </w:t>
      </w:r>
      <w:r>
        <w:rPr>
          <w:b/>
        </w:rPr>
        <w:t xml:space="preserve">  </w:t>
      </w:r>
      <w:r>
        <w:rPr>
          <w:rFonts w:hint="eastAsia"/>
        </w:rPr>
        <w:t>联系方式：0532-82031909  E-mail： glyu@ouc.edu.cn</w:t>
      </w:r>
    </w:p>
    <w:p>
      <w:pPr>
        <w:snapToGrid w:val="0"/>
        <w:spacing w:line="400" w:lineRule="exact"/>
      </w:pPr>
      <w:r>
        <w:rPr>
          <w:rFonts w:hint="eastAsia"/>
          <w:b/>
        </w:rPr>
        <w:t>招生专业：</w:t>
      </w:r>
      <w:r>
        <w:rPr>
          <w:rFonts w:hint="eastAsia"/>
        </w:rPr>
        <w:t>药物分析学</w:t>
      </w:r>
    </w:p>
    <w:p>
      <w:pPr>
        <w:snapToGrid w:val="0"/>
        <w:spacing w:line="400" w:lineRule="exact"/>
      </w:pPr>
      <w:r>
        <w:rPr>
          <w:rFonts w:hint="eastAsia"/>
          <w:b/>
        </w:rPr>
        <w:t>主要</w:t>
      </w:r>
      <w:r>
        <w:rPr>
          <w:b/>
        </w:rPr>
        <w:t>研究方向</w:t>
      </w:r>
      <w:r>
        <w:rPr>
          <w:rFonts w:hint="eastAsia"/>
        </w:rPr>
        <w:t>：海洋多糖提取分离、寡糖制备及结构序列分析；糖芯片制备及其与蛋白作用研究；内源性糖链结构分析及其与疾病关系研究；糖与人体肠道微生物关系研究；海洋糖药物研究开发。</w:t>
      </w:r>
    </w:p>
    <w:p>
      <w:pPr>
        <w:snapToGrid w:val="0"/>
        <w:spacing w:line="400" w:lineRule="exact"/>
      </w:pPr>
      <w:r>
        <w:rPr>
          <w:rFonts w:hint="eastAsia"/>
          <w:b/>
        </w:rPr>
        <w:t>近三年</w:t>
      </w:r>
      <w:r>
        <w:rPr>
          <w:b/>
        </w:rPr>
        <w:t>主要研究成果、在研项目及经费</w:t>
      </w:r>
      <w:r>
        <w:rPr>
          <w:rFonts w:hint="eastAsia"/>
        </w:rPr>
        <w:t>：系统建立了海洋糖类提取分离与结构分析以及糖芯片筛选活性技术体系；系统建立了内源性糖链与疾病关系研究技术体系；建立了肠道微生物与多糖互作关系研究方法；发现了系列具有抗肿瘤、抗糖尿病和抗病毒等活性糖类化合物，其中3个化合物进入系统临床前研究；近三年发表SCI收录论文30余篇，申请PCT专利4项，授权国家发明专利5项，2019年获得山东省科技进步奖二等奖（第一），2018年获得海洋科学技术二等奖（第一）及山东省高校科学技术一等奖（第二）；2019年获得山东省第五届优秀研究生导师称号，2020年评为中国海洋大学最美教师称号。主持在研项目有：国家新药创制科技重大专项（1753万）、国家基金委重大项目子课题（350万）、国家自然基金面上项目（65万）、山东省泰山学者工程专项（200万）、山东省重大创新工程子课题（800万）共5项，横向开发课题共3项。</w:t>
      </w:r>
    </w:p>
    <w:p>
      <w:pPr>
        <w:snapToGrid w:val="0"/>
        <w:spacing w:line="400" w:lineRule="exact"/>
        <w:rPr>
          <w:b/>
          <w:bCs/>
        </w:rPr>
      </w:pPr>
      <w:r>
        <w:rPr>
          <w:rFonts w:hint="eastAsia"/>
          <w:b/>
          <w:bCs/>
        </w:rPr>
        <w:t xml:space="preserve">21.吕志华  </w:t>
      </w:r>
      <w:r>
        <w:rPr>
          <w:rFonts w:hint="eastAsia"/>
          <w:bCs/>
        </w:rPr>
        <w:t>联系方式：</w:t>
      </w:r>
      <w:r>
        <w:fldChar w:fldCharType="begin"/>
      </w:r>
      <w:r>
        <w:instrText xml:space="preserve"> HYPERLINK "mailto:lvzhihua@ouc.edu.cn" </w:instrText>
      </w:r>
      <w:r>
        <w:fldChar w:fldCharType="separate"/>
      </w:r>
      <w:r>
        <w:rPr>
          <w:rFonts w:hint="eastAsia"/>
          <w:bCs/>
        </w:rPr>
        <w:t>lvzhihua@ouc.edu.cn</w:t>
      </w:r>
      <w:r>
        <w:rPr>
          <w:rFonts w:hint="eastAsia"/>
          <w:bCs/>
        </w:rPr>
        <w:fldChar w:fldCharType="end"/>
      </w:r>
    </w:p>
    <w:p>
      <w:pPr>
        <w:snapToGrid w:val="0"/>
        <w:spacing w:line="400" w:lineRule="exact"/>
        <w:jc w:val="left"/>
        <w:rPr>
          <w:szCs w:val="21"/>
        </w:rPr>
      </w:pPr>
      <w:r>
        <w:rPr>
          <w:rFonts w:hint="eastAsia" w:hAnsi="宋体"/>
          <w:b/>
          <w:kern w:val="0"/>
          <w:szCs w:val="21"/>
        </w:rPr>
        <w:t>招生专业：</w:t>
      </w:r>
      <w:r>
        <w:rPr>
          <w:rFonts w:hint="eastAsia"/>
          <w:szCs w:val="21"/>
        </w:rPr>
        <w:t>药物分析学</w:t>
      </w:r>
    </w:p>
    <w:p>
      <w:pPr>
        <w:snapToGrid w:val="0"/>
        <w:spacing w:line="400" w:lineRule="exact"/>
        <w:rPr>
          <w:szCs w:val="21"/>
        </w:rPr>
      </w:pPr>
      <w:r>
        <w:rPr>
          <w:rFonts w:hAnsi="宋体"/>
          <w:b/>
          <w:kern w:val="0"/>
          <w:szCs w:val="21"/>
        </w:rPr>
        <w:t>研究方向</w:t>
      </w:r>
      <w:r>
        <w:rPr>
          <w:rFonts w:hint="eastAsia" w:hAnsi="宋体"/>
          <w:b/>
          <w:kern w:val="0"/>
          <w:szCs w:val="21"/>
        </w:rPr>
        <w:t>：</w:t>
      </w:r>
      <w:r>
        <w:rPr>
          <w:rFonts w:hint="eastAsia" w:hAnsi="宋体"/>
          <w:kern w:val="0"/>
          <w:szCs w:val="21"/>
        </w:rPr>
        <w:t>1、药物分析方法与质量控制；2、药物代谢动力学</w:t>
      </w:r>
    </w:p>
    <w:p>
      <w:pPr>
        <w:snapToGrid w:val="0"/>
        <w:spacing w:line="400" w:lineRule="exact"/>
        <w:rPr>
          <w:szCs w:val="21"/>
        </w:rPr>
      </w:pPr>
      <w:r>
        <w:rPr>
          <w:rFonts w:hint="eastAsia" w:hAnsi="宋体"/>
          <w:b/>
          <w:kern w:val="0"/>
          <w:szCs w:val="21"/>
        </w:rPr>
        <w:t>近三年</w:t>
      </w:r>
      <w:r>
        <w:rPr>
          <w:rFonts w:hAnsi="宋体"/>
          <w:b/>
          <w:kern w:val="0"/>
          <w:szCs w:val="21"/>
        </w:rPr>
        <w:t>主要研究成果</w:t>
      </w:r>
      <w:r>
        <w:rPr>
          <w:rFonts w:hint="eastAsia" w:hAnsi="宋体"/>
          <w:b/>
          <w:kern w:val="0"/>
          <w:szCs w:val="21"/>
        </w:rPr>
        <w:t>及</w:t>
      </w:r>
      <w:r>
        <w:rPr>
          <w:rFonts w:hAnsi="宋体"/>
          <w:b/>
          <w:kern w:val="0"/>
          <w:szCs w:val="21"/>
        </w:rPr>
        <w:t>在研项目及经费</w:t>
      </w:r>
      <w:r>
        <w:rPr>
          <w:rFonts w:hint="eastAsia" w:hAnsi="宋体"/>
          <w:b/>
          <w:kern w:val="0"/>
          <w:szCs w:val="21"/>
        </w:rPr>
        <w:t>：</w:t>
      </w:r>
      <w:r>
        <w:rPr>
          <w:rFonts w:hint="eastAsia" w:hAnsi="宋体"/>
          <w:kern w:val="0"/>
          <w:szCs w:val="21"/>
        </w:rPr>
        <w:t>主要针对药物分析的新方法、新技术，药物的吸收、转运</w:t>
      </w:r>
      <w:r>
        <w:rPr>
          <w:rFonts w:hAnsi="宋体"/>
          <w:kern w:val="0"/>
          <w:szCs w:val="21"/>
        </w:rPr>
        <w:t>、代谢机制</w:t>
      </w:r>
      <w:r>
        <w:rPr>
          <w:rFonts w:hint="eastAsia" w:hAnsi="宋体"/>
          <w:kern w:val="0"/>
          <w:szCs w:val="21"/>
        </w:rPr>
        <w:t>，药物质量控制关键技术开展</w:t>
      </w:r>
      <w:r>
        <w:rPr>
          <w:rFonts w:hAnsi="宋体"/>
          <w:kern w:val="0"/>
          <w:szCs w:val="21"/>
        </w:rPr>
        <w:t>研究工作，</w:t>
      </w:r>
      <w:r>
        <w:rPr>
          <w:rFonts w:hint="eastAsia" w:hAnsi="宋体"/>
          <w:kern w:val="0"/>
          <w:szCs w:val="21"/>
        </w:rPr>
        <w:t>主持及参与承担国家海洋“863”计划重点项目、“国家重大新药创制”科技重大专项、公益性行业科技专项、国家自然科学基金、国家海洋经济创新发展示范项目等课题20余项。</w:t>
      </w:r>
      <w:r>
        <w:rPr>
          <w:szCs w:val="21"/>
        </w:rPr>
        <w:t>近</w:t>
      </w:r>
      <w:r>
        <w:rPr>
          <w:rFonts w:hint="eastAsia"/>
          <w:szCs w:val="21"/>
        </w:rPr>
        <w:t>三</w:t>
      </w:r>
      <w:r>
        <w:rPr>
          <w:szCs w:val="21"/>
        </w:rPr>
        <w:t>年来</w:t>
      </w:r>
      <w:r>
        <w:rPr>
          <w:rFonts w:hint="eastAsia"/>
          <w:szCs w:val="21"/>
        </w:rPr>
        <w:t>在</w:t>
      </w:r>
      <w:r>
        <w:rPr>
          <w:i/>
          <w:szCs w:val="21"/>
        </w:rPr>
        <w:t>SensorActuatB-Chem, Electrophoresis, Int J BiolMacromol.</w:t>
      </w:r>
      <w:r>
        <w:rPr>
          <w:rFonts w:hint="eastAsia"/>
          <w:szCs w:val="21"/>
        </w:rPr>
        <w:t>等国内外刊物发表论文</w:t>
      </w:r>
      <w:r>
        <w:rPr>
          <w:szCs w:val="21"/>
        </w:rPr>
        <w:t>21</w:t>
      </w:r>
      <w:r>
        <w:rPr>
          <w:rFonts w:hint="eastAsia"/>
          <w:szCs w:val="21"/>
        </w:rPr>
        <w:t>篇，获授权国家发明专利</w:t>
      </w:r>
      <w:r>
        <w:rPr>
          <w:szCs w:val="21"/>
        </w:rPr>
        <w:t>2</w:t>
      </w:r>
      <w:r>
        <w:rPr>
          <w:rFonts w:hint="eastAsia"/>
          <w:szCs w:val="21"/>
        </w:rPr>
        <w:t>项。目前主持海洋经济创新发展示范城市项目1项（</w:t>
      </w:r>
      <w:r>
        <w:rPr>
          <w:szCs w:val="21"/>
        </w:rPr>
        <w:t>5</w:t>
      </w:r>
      <w:r>
        <w:rPr>
          <w:rFonts w:hint="eastAsia"/>
          <w:szCs w:val="21"/>
        </w:rPr>
        <w:t>00万元）、山东省重大科技创新工程“‘蓝色药库’技术创新工程”专项</w:t>
      </w:r>
      <w:r>
        <w:rPr>
          <w:szCs w:val="21"/>
        </w:rPr>
        <w:t>项目</w:t>
      </w:r>
      <w:r>
        <w:rPr>
          <w:rFonts w:hint="eastAsia"/>
          <w:szCs w:val="21"/>
        </w:rPr>
        <w:t>1项</w:t>
      </w:r>
      <w:r>
        <w:rPr>
          <w:szCs w:val="21"/>
        </w:rPr>
        <w:t>（</w:t>
      </w:r>
      <w:r>
        <w:rPr>
          <w:rFonts w:hint="eastAsia"/>
          <w:szCs w:val="21"/>
        </w:rPr>
        <w:t>500万元</w:t>
      </w:r>
      <w:r>
        <w:rPr>
          <w:szCs w:val="21"/>
        </w:rPr>
        <w:t>）</w:t>
      </w:r>
      <w:r>
        <w:rPr>
          <w:rFonts w:hint="eastAsia"/>
          <w:szCs w:val="21"/>
        </w:rPr>
        <w:t>，横向</w:t>
      </w:r>
      <w:r>
        <w:rPr>
          <w:szCs w:val="21"/>
        </w:rPr>
        <w:t>课题</w:t>
      </w:r>
      <w:r>
        <w:rPr>
          <w:rFonts w:hint="eastAsia"/>
          <w:szCs w:val="21"/>
        </w:rPr>
        <w:t>2项。</w:t>
      </w:r>
    </w:p>
    <w:p>
      <w:pPr>
        <w:snapToGrid w:val="0"/>
        <w:spacing w:line="400" w:lineRule="exact"/>
        <w:rPr>
          <w:b/>
          <w:bCs/>
          <w:szCs w:val="21"/>
        </w:rPr>
      </w:pPr>
      <w:r>
        <w:rPr>
          <w:rFonts w:hint="eastAsia"/>
          <w:b/>
          <w:bCs/>
          <w:szCs w:val="21"/>
        </w:rPr>
        <w:t xml:space="preserve">22.邱 雪 </w:t>
      </w:r>
      <w:r>
        <w:rPr>
          <w:b/>
          <w:bCs/>
          <w:szCs w:val="21"/>
        </w:rPr>
        <w:t xml:space="preserve">  </w:t>
      </w:r>
      <w:r>
        <w:rPr>
          <w:rFonts w:hint="eastAsia"/>
          <w:bCs/>
          <w:szCs w:val="21"/>
        </w:rPr>
        <w:t>联系方式：</w:t>
      </w:r>
      <w:r>
        <w:rPr>
          <w:rFonts w:hint="eastAsia"/>
        </w:rPr>
        <w:fldChar w:fldCharType="begin"/>
      </w:r>
      <w:r>
        <w:instrText xml:space="preserve"> HYPERLINK "mailto:qiuxue@ouc.edu.cn" </w:instrText>
      </w:r>
      <w:r>
        <w:rPr>
          <w:rFonts w:hint="eastAsia"/>
        </w:rPr>
        <w:fldChar w:fldCharType="separate"/>
      </w:r>
      <w:r>
        <w:rPr>
          <w:rStyle w:val="16"/>
          <w:rFonts w:hint="eastAsia"/>
          <w:bCs/>
          <w:szCs w:val="21"/>
        </w:rPr>
        <w:t>qiuxue@ouc.edu.cn</w:t>
      </w:r>
      <w:r>
        <w:rPr>
          <w:rStyle w:val="16"/>
          <w:rFonts w:hint="eastAsia"/>
          <w:bCs/>
          <w:szCs w:val="21"/>
        </w:rPr>
        <w:fldChar w:fldCharType="end"/>
      </w:r>
    </w:p>
    <w:p>
      <w:pPr>
        <w:snapToGrid w:val="0"/>
        <w:spacing w:line="400" w:lineRule="exact"/>
        <w:rPr>
          <w:b/>
          <w:bCs/>
          <w:szCs w:val="21"/>
        </w:rPr>
      </w:pPr>
      <w:r>
        <w:rPr>
          <w:rFonts w:hint="eastAsia"/>
          <w:b/>
          <w:bCs/>
          <w:szCs w:val="21"/>
        </w:rPr>
        <w:t>招生专业：</w:t>
      </w:r>
      <w:r>
        <w:rPr>
          <w:rFonts w:hint="eastAsia"/>
          <w:szCs w:val="21"/>
        </w:rPr>
        <w:t>药物分析学</w:t>
      </w:r>
    </w:p>
    <w:p>
      <w:pPr>
        <w:snapToGrid w:val="0"/>
        <w:spacing w:line="400" w:lineRule="exact"/>
        <w:rPr>
          <w:szCs w:val="21"/>
        </w:rPr>
      </w:pPr>
      <w:r>
        <w:rPr>
          <w:b/>
          <w:bCs/>
          <w:szCs w:val="21"/>
        </w:rPr>
        <w:t>主要研究方向：</w:t>
      </w:r>
      <w:r>
        <w:rPr>
          <w:szCs w:val="21"/>
        </w:rPr>
        <w:t>基于荧光共振能量转移技术 (FRET)的：1. 分子诊断新技术</w:t>
      </w:r>
      <w:r>
        <w:rPr>
          <w:rFonts w:hint="eastAsia"/>
          <w:szCs w:val="21"/>
        </w:rPr>
        <w:t>、</w:t>
      </w:r>
      <w:r>
        <w:rPr>
          <w:szCs w:val="21"/>
        </w:rPr>
        <w:t>2. 药物高通量筛选技术</w:t>
      </w:r>
      <w:r>
        <w:rPr>
          <w:rFonts w:hint="eastAsia"/>
          <w:szCs w:val="21"/>
        </w:rPr>
        <w:t>、</w:t>
      </w:r>
      <w:r>
        <w:rPr>
          <w:szCs w:val="21"/>
        </w:rPr>
        <w:t>3. 新型光学纳米材料的生物应用</w:t>
      </w:r>
      <w:r>
        <w:rPr>
          <w:rFonts w:hint="eastAsia"/>
          <w:szCs w:val="21"/>
        </w:rPr>
        <w:t>、</w:t>
      </w:r>
      <w:r>
        <w:rPr>
          <w:szCs w:val="21"/>
        </w:rPr>
        <w:t>4. 分子内构象变化或分子间相互作用研究</w:t>
      </w:r>
    </w:p>
    <w:p>
      <w:pPr>
        <w:snapToGrid w:val="0"/>
        <w:spacing w:line="400" w:lineRule="exact"/>
        <w:rPr>
          <w:szCs w:val="21"/>
        </w:rPr>
      </w:pPr>
      <w:r>
        <w:rPr>
          <w:b/>
          <w:bCs/>
          <w:szCs w:val="21"/>
        </w:rPr>
        <w:t>近三年主要研究成果、在研项目及经费：</w:t>
      </w:r>
      <w:r>
        <w:rPr>
          <w:rFonts w:hint="eastAsia"/>
        </w:rPr>
        <w:t>主要从事以FRET为技术手段的生物功能分子的多组分同步光学检测，具有光谱学、材料化学和分子生物学多学科交叉特性。近三年在</w:t>
      </w:r>
      <w:r>
        <w:rPr>
          <w:rFonts w:hint="eastAsia"/>
          <w:i/>
        </w:rPr>
        <w:t>ACS Nano、Analytical Chemistry、Small、JPCL、Chemical Science、ACS Sensors</w:t>
      </w:r>
      <w:r>
        <w:rPr>
          <w:rFonts w:hint="eastAsia"/>
        </w:rPr>
        <w:t>等领域TOP期刊发表7篇</w:t>
      </w:r>
      <w:r>
        <w:t>论文</w:t>
      </w:r>
      <w:r>
        <w:rPr>
          <w:rFonts w:hint="eastAsia"/>
        </w:rPr>
        <w:t>。参编爱思维尔出版社专业书1部（英文）。受邀在纳米抗体免疫分析与应用国际研讨会（2019），美国分析化学联合会及光谱协会主办年会等国际会议作学术报告（2017）。Google scholar论文实时被引700+，H因子15。现主持“青年英才工程”一层次引进人才基金和青岛海洋科学与技术试点国家实验室创新人才引进项目，立项经费110万元。</w:t>
      </w:r>
    </w:p>
    <w:p>
      <w:pPr>
        <w:snapToGrid w:val="0"/>
        <w:spacing w:line="400" w:lineRule="exact"/>
        <w:rPr>
          <w:szCs w:val="21"/>
        </w:rPr>
      </w:pPr>
      <w:r>
        <w:rPr>
          <w:rFonts w:hint="eastAsia"/>
          <w:b/>
          <w:szCs w:val="21"/>
        </w:rPr>
        <w:t xml:space="preserve">23.于文功  </w:t>
      </w:r>
      <w:r>
        <w:rPr>
          <w:rFonts w:hint="eastAsia"/>
          <w:szCs w:val="21"/>
        </w:rPr>
        <w:t>联系方式：</w:t>
      </w:r>
      <w:r>
        <w:fldChar w:fldCharType="begin"/>
      </w:r>
      <w:r>
        <w:instrText xml:space="preserve"> HYPERLINK "mailto:yuwg66@ouc.edu.cn" </w:instrText>
      </w:r>
      <w:r>
        <w:fldChar w:fldCharType="separate"/>
      </w:r>
      <w:r>
        <w:rPr>
          <w:rFonts w:hint="eastAsia"/>
        </w:rPr>
        <w:t>yuwg66@ouc.edu.cn</w:t>
      </w:r>
      <w:r>
        <w:rPr>
          <w:rFonts w:hint="eastAsia"/>
        </w:rPr>
        <w:fldChar w:fldCharType="end"/>
      </w:r>
    </w:p>
    <w:p>
      <w:pPr>
        <w:snapToGrid w:val="0"/>
        <w:spacing w:line="400" w:lineRule="exact"/>
        <w:rPr>
          <w:b/>
          <w:szCs w:val="21"/>
        </w:rPr>
      </w:pPr>
      <w:r>
        <w:rPr>
          <w:rFonts w:hint="eastAsia"/>
          <w:b/>
          <w:szCs w:val="21"/>
        </w:rPr>
        <w:t>招生专业：</w:t>
      </w:r>
      <w:r>
        <w:rPr>
          <w:rFonts w:hint="eastAsia"/>
          <w:szCs w:val="21"/>
        </w:rPr>
        <w:t>微生物与生化药学</w:t>
      </w:r>
    </w:p>
    <w:p>
      <w:pPr>
        <w:snapToGrid w:val="0"/>
        <w:spacing w:line="400" w:lineRule="exact"/>
        <w:rPr>
          <w:szCs w:val="21"/>
        </w:rPr>
      </w:pPr>
      <w:r>
        <w:rPr>
          <w:rFonts w:hint="eastAsia"/>
          <w:b/>
          <w:szCs w:val="21"/>
        </w:rPr>
        <w:t>研究方向：</w:t>
      </w:r>
      <w:r>
        <w:rPr>
          <w:szCs w:val="21"/>
        </w:rPr>
        <w:t>海洋微生物分子酶学</w:t>
      </w:r>
      <w:r>
        <w:rPr>
          <w:rFonts w:hint="eastAsia"/>
          <w:szCs w:val="21"/>
        </w:rPr>
        <w:t>、蛋白质糖基化</w:t>
      </w:r>
      <w:r>
        <w:rPr>
          <w:szCs w:val="21"/>
        </w:rPr>
        <w:t>修饰与肿瘤</w:t>
      </w:r>
      <w:r>
        <w:rPr>
          <w:rFonts w:hint="eastAsia"/>
          <w:szCs w:val="21"/>
        </w:rPr>
        <w:t>发生发展、</w:t>
      </w:r>
      <w:r>
        <w:rPr>
          <w:szCs w:val="21"/>
        </w:rPr>
        <w:t>新型抗感染药物</w:t>
      </w:r>
    </w:p>
    <w:p>
      <w:pPr>
        <w:snapToGrid w:val="0"/>
        <w:spacing w:line="400" w:lineRule="exact"/>
        <w:rPr>
          <w:szCs w:val="21"/>
        </w:rPr>
      </w:pPr>
      <w:r>
        <w:rPr>
          <w:rFonts w:hint="eastAsia"/>
          <w:b/>
          <w:szCs w:val="21"/>
        </w:rPr>
        <w:t>近三年</w:t>
      </w:r>
      <w:r>
        <w:rPr>
          <w:b/>
          <w:szCs w:val="21"/>
        </w:rPr>
        <w:t>主要研究成果</w:t>
      </w:r>
      <w:r>
        <w:rPr>
          <w:rFonts w:hint="eastAsia"/>
          <w:b/>
          <w:szCs w:val="21"/>
        </w:rPr>
        <w:t>、</w:t>
      </w:r>
      <w:r>
        <w:rPr>
          <w:b/>
          <w:szCs w:val="21"/>
        </w:rPr>
        <w:t>在研项目及经费：</w:t>
      </w:r>
      <w:r>
        <w:rPr>
          <w:rFonts w:hint="eastAsia"/>
          <w:szCs w:val="21"/>
        </w:rPr>
        <w:t>发表SCI收录学术论文100余篇，其中部分论文发表在</w:t>
      </w:r>
      <w:r>
        <w:rPr>
          <w:rFonts w:hint="eastAsia"/>
          <w:i/>
          <w:szCs w:val="21"/>
        </w:rPr>
        <w:t>Nat Commun、J Biol Chem、Cancer Res</w:t>
      </w:r>
      <w:r>
        <w:rPr>
          <w:rFonts w:hint="eastAsia"/>
          <w:szCs w:val="21"/>
        </w:rPr>
        <w:t>等国际权威期刊；获国家发明专利6项；正在进行1种海洋微生物来源的褐藻胶裂解酶的中试放大研究、1种壳聚糖酶的产业化研究及1种新型抗铜绿假单胞菌感染药物的临床前研究；获国家技术发明一等奖（第三位）、国家海洋局海洋创新成果二等奖（第二位）各一项。目前在研项目包括国家自然科学基金面上项目（31870795）、NSFC-山东省联合基金（U1606403）、国家科技重大专项重大新药创制项目（2018ZX09735004）等，总经费约500万元。</w:t>
      </w:r>
    </w:p>
    <w:p>
      <w:pPr>
        <w:snapToGrid w:val="0"/>
        <w:spacing w:line="400" w:lineRule="exact"/>
        <w:rPr>
          <w:szCs w:val="21"/>
        </w:rPr>
      </w:pPr>
      <w:r>
        <w:rPr>
          <w:rFonts w:hint="eastAsia"/>
          <w:b/>
          <w:szCs w:val="21"/>
        </w:rPr>
        <w:t xml:space="preserve">24.李德海 </w:t>
      </w:r>
      <w:r>
        <w:rPr>
          <w:rFonts w:hint="eastAsia"/>
          <w:szCs w:val="21"/>
        </w:rPr>
        <w:t>联系方式：dehaili@ouc.edu.cn</w:t>
      </w:r>
    </w:p>
    <w:p>
      <w:pPr>
        <w:snapToGrid w:val="0"/>
        <w:spacing w:line="400" w:lineRule="exact"/>
        <w:rPr>
          <w:szCs w:val="21"/>
        </w:rPr>
      </w:pPr>
      <w:r>
        <w:rPr>
          <w:rFonts w:hint="eastAsia"/>
          <w:b/>
          <w:szCs w:val="21"/>
        </w:rPr>
        <w:t>招生专业：</w:t>
      </w:r>
      <w:r>
        <w:rPr>
          <w:rFonts w:hint="eastAsia"/>
          <w:szCs w:val="21"/>
        </w:rPr>
        <w:t>微生物与生化药学</w:t>
      </w:r>
    </w:p>
    <w:p>
      <w:pPr>
        <w:snapToGrid w:val="0"/>
        <w:spacing w:line="400" w:lineRule="exact"/>
        <w:rPr>
          <w:szCs w:val="21"/>
        </w:rPr>
      </w:pPr>
      <w:r>
        <w:rPr>
          <w:rFonts w:hint="eastAsia"/>
          <w:b/>
          <w:szCs w:val="21"/>
        </w:rPr>
        <w:t>研究方向：</w:t>
      </w:r>
      <w:r>
        <w:rPr>
          <w:rFonts w:hint="eastAsia"/>
          <w:szCs w:val="21"/>
        </w:rPr>
        <w:t>主要从事海洋天然药物化学研究，包括：海洋来源微生物中活性次级代谢产物发现、结构优化及构效关系研究；海洋微生物功能基因挖掘和代谢产物生物合成研究。</w:t>
      </w:r>
    </w:p>
    <w:p>
      <w:pPr>
        <w:snapToGrid w:val="0"/>
        <w:spacing w:line="400" w:lineRule="exact"/>
      </w:pPr>
      <w:r>
        <w:rPr>
          <w:rFonts w:hint="eastAsia"/>
          <w:b/>
          <w:szCs w:val="21"/>
        </w:rPr>
        <w:t>近三年主要研究成果、在研项目及经费：</w:t>
      </w:r>
      <w:r>
        <w:rPr>
          <w:rFonts w:hint="eastAsia"/>
          <w:szCs w:val="21"/>
        </w:rPr>
        <w:t>“</w:t>
      </w:r>
      <w:r>
        <w:rPr>
          <w:rFonts w:hint="eastAsia"/>
        </w:rPr>
        <w:t>筑峰人才工程”三层次教授，教育部“长江学者”青年专家（2019年）、自然资源部“高层次科技创新人才”（第三梯队）（2019年）、山东省泰山学者青年专家（2018）、青岛海洋科学与技术试点国家实验室“鳌山人才”优秀青年学者（2015年）、教育部 “新世纪优秀人才支持计划”（2012），获得“山东省自然科学杰出青年基金”（2014）支持。获山东省自然科学学术创新奖、中国药学会以岭生物医药奖。国际期刊</w:t>
      </w:r>
      <w:r>
        <w:rPr>
          <w:rFonts w:hint="eastAsia"/>
          <w:i/>
        </w:rPr>
        <w:t>Curr. Org. Chem、Lett. Org. Chem.</w:t>
      </w:r>
      <w:r>
        <w:rPr>
          <w:rFonts w:hint="eastAsia"/>
        </w:rPr>
        <w:t>编辑。近三年，以通讯作者在</w:t>
      </w:r>
      <w:r>
        <w:rPr>
          <w:rFonts w:hint="eastAsia"/>
          <w:i/>
        </w:rPr>
        <w:t xml:space="preserve">J Med Chem、Org Lett、J Org Chem、J Nat Prod </w:t>
      </w:r>
      <w:r>
        <w:rPr>
          <w:rFonts w:hint="eastAsia"/>
        </w:rPr>
        <w:t>等发表SCI收录论文30余篇；主持国家自然科学基金面上项目（65.6万元）、NSFC-山东省联合基金（294.8万）、泰山学者青年专家项目（100万元）等，总经费500余万元。</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jc w:val="left"/>
        <w:rPr>
          <w:rFonts w:hAnsi="宋体"/>
          <w:kern w:val="0"/>
          <w:szCs w:val="21"/>
        </w:rPr>
      </w:pPr>
      <w:r>
        <w:rPr>
          <w:rFonts w:hint="eastAsia" w:hAnsi="宋体"/>
          <w:b/>
          <w:kern w:val="0"/>
          <w:szCs w:val="21"/>
        </w:rPr>
        <w:t xml:space="preserve">25.李文利  </w:t>
      </w:r>
      <w:r>
        <w:rPr>
          <w:rFonts w:hint="eastAsia" w:hAnsi="宋体"/>
          <w:kern w:val="0"/>
          <w:szCs w:val="21"/>
        </w:rPr>
        <w:t>联系方式：</w:t>
      </w:r>
      <w:r>
        <w:fldChar w:fldCharType="begin"/>
      </w:r>
      <w:r>
        <w:instrText xml:space="preserve"> HYPERLINK "mailto:liwenli@ouc.edu.cn" </w:instrText>
      </w:r>
      <w:r>
        <w:fldChar w:fldCharType="separate"/>
      </w:r>
      <w:r>
        <w:rPr>
          <w:rFonts w:hint="eastAsia" w:hAnsi="宋体"/>
          <w:kern w:val="0"/>
          <w:szCs w:val="21"/>
        </w:rPr>
        <w:t>liwenli@ouc.edu.cn</w:t>
      </w:r>
      <w:r>
        <w:rPr>
          <w:rFonts w:hint="eastAsia" w:hAnsi="宋体"/>
          <w:kern w:val="0"/>
          <w:szCs w:val="21"/>
        </w:rPr>
        <w:fldChar w:fldCharType="end"/>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jc w:val="left"/>
        <w:rPr>
          <w:rFonts w:hAnsi="宋体"/>
          <w:kern w:val="0"/>
          <w:szCs w:val="21"/>
        </w:rPr>
      </w:pPr>
      <w:r>
        <w:rPr>
          <w:rFonts w:hint="eastAsia" w:hAnsi="宋体"/>
          <w:b/>
          <w:kern w:val="0"/>
          <w:szCs w:val="21"/>
        </w:rPr>
        <w:t>招生专业：</w:t>
      </w:r>
      <w:r>
        <w:rPr>
          <w:rFonts w:hint="eastAsia" w:hAnsi="宋体"/>
          <w:kern w:val="0"/>
          <w:szCs w:val="21"/>
        </w:rPr>
        <w:t>微生物与生化药学</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jc w:val="left"/>
        <w:rPr>
          <w:rFonts w:hAnsi="宋体"/>
          <w:b/>
          <w:kern w:val="0"/>
          <w:szCs w:val="21"/>
        </w:rPr>
      </w:pPr>
      <w:r>
        <w:rPr>
          <w:rFonts w:hint="eastAsia" w:hAnsi="宋体"/>
          <w:b/>
          <w:kern w:val="0"/>
          <w:szCs w:val="21"/>
        </w:rPr>
        <w:t>研究方向：</w:t>
      </w:r>
      <w:r>
        <w:rPr>
          <w:rFonts w:hint="eastAsia" w:hAnsi="宋体"/>
          <w:bCs/>
          <w:kern w:val="0"/>
          <w:szCs w:val="21"/>
        </w:rPr>
        <w:t>1、海洋药源分子生物合成机制及新颖酶催化机制研究；2、海洋药源分子的合成生物学研究；3、基于基因组挖掘的海洋微生物药源分子的定向发现。</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pPr>
      <w:r>
        <w:rPr>
          <w:rFonts w:hint="eastAsia" w:hAnsi="宋体"/>
          <w:b/>
          <w:kern w:val="0"/>
          <w:szCs w:val="21"/>
        </w:rPr>
        <w:t>近三年主要研究成果、在研项目及经费：</w:t>
      </w:r>
      <w:r>
        <w:rPr>
          <w:rFonts w:hint="eastAsia"/>
        </w:rPr>
        <w:t>中国遗传学会微生物遗传专业委员会委员，海洋湖沼学会药学分会理事等。Appl Environ Microbiol、《微生物学报》等杂志编委。入选教育部 “新世纪优秀人才支持计划”，荣获Thieme Chemistry Journal Award 2020（德国）、第二十届“天泰优秀人才奖”一等奖、第十二届青岛市青年科技奖等。近三年在国际权威刊物</w:t>
      </w:r>
      <w:r>
        <w:rPr>
          <w:rFonts w:hint="eastAsia"/>
          <w:i/>
        </w:rPr>
        <w:t>J. Am. Chem. Soc.、Angew. Chem. Int. Ed.、Nat. Commu.</w:t>
      </w:r>
      <w:r>
        <w:rPr>
          <w:rFonts w:hint="eastAsia"/>
        </w:rPr>
        <w:t>等发表SCI论文20余篇，获授权专利2项。目前在研项目包括NSFC-山东省政府联合基金重点项目（主持，314.4万）、国家重点研发计划项目（课题负责人，563万）NSFC面上项目（主持，58万）等。指导研究生荣获“山东省研究生优秀科技创新成果奖”、“山东省优秀博士学位论文指导奖”、“山东省高等学校优秀学生”等省级称号。</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jc w:val="left"/>
        <w:rPr>
          <w:rFonts w:ascii="inherit" w:hAnsi="inherit" w:cs="宋体"/>
          <w:color w:val="000000"/>
          <w:kern w:val="0"/>
          <w:szCs w:val="21"/>
        </w:rPr>
      </w:pPr>
      <w:r>
        <w:rPr>
          <w:rFonts w:hint="eastAsia" w:ascii="inherit" w:hAnsi="inherit" w:cs="宋体"/>
          <w:b/>
          <w:bCs/>
          <w:color w:val="000000"/>
          <w:kern w:val="0"/>
          <w:szCs w:val="21"/>
        </w:rPr>
        <w:t>26.曹鸿志</w:t>
      </w:r>
      <w:r>
        <w:rPr>
          <w:rFonts w:ascii="inherit" w:hAnsi="inherit" w:cs="宋体"/>
          <w:b/>
          <w:bCs/>
          <w:color w:val="000000"/>
          <w:kern w:val="0"/>
          <w:szCs w:val="21"/>
        </w:rPr>
        <w:t> </w:t>
      </w:r>
      <w:r>
        <w:rPr>
          <w:rFonts w:hint="eastAsia" w:ascii="inherit" w:hAnsi="inherit" w:cs="宋体"/>
          <w:color w:val="000000"/>
          <w:kern w:val="0"/>
          <w:szCs w:val="21"/>
        </w:rPr>
        <w:t xml:space="preserve"> </w:t>
      </w:r>
      <w:r>
        <w:rPr>
          <w:rFonts w:ascii="inherit" w:hAnsi="inherit" w:cs="宋体"/>
          <w:color w:val="000000"/>
          <w:kern w:val="0"/>
          <w:szCs w:val="21"/>
        </w:rPr>
        <w:t>联系方式：0532-8203</w:t>
      </w:r>
      <w:r>
        <w:rPr>
          <w:rFonts w:hint="eastAsia" w:ascii="inherit" w:hAnsi="inherit" w:cs="宋体"/>
          <w:color w:val="000000"/>
          <w:kern w:val="0"/>
          <w:szCs w:val="21"/>
        </w:rPr>
        <w:t>2030</w:t>
      </w:r>
      <w:r>
        <w:rPr>
          <w:rFonts w:ascii="inherit" w:hAnsi="inherit" w:cs="宋体"/>
          <w:color w:val="000000"/>
          <w:kern w:val="0"/>
          <w:szCs w:val="21"/>
        </w:rPr>
        <w:t xml:space="preserve">  E-mail</w:t>
      </w:r>
      <w:r>
        <w:rPr>
          <w:rFonts w:hint="eastAsia" w:ascii="inherit" w:hAnsi="inherit" w:cs="宋体"/>
          <w:color w:val="000000"/>
          <w:kern w:val="0"/>
          <w:szCs w:val="21"/>
        </w:rPr>
        <w:t>：hzcao@ouc.edu.cn</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jc w:val="left"/>
        <w:rPr>
          <w:rFonts w:ascii="inherit" w:hAnsi="inherit" w:cs="宋体"/>
          <w:color w:val="000000"/>
          <w:kern w:val="0"/>
          <w:szCs w:val="21"/>
        </w:rPr>
      </w:pPr>
      <w:r>
        <w:rPr>
          <w:rFonts w:ascii="inherit" w:hAnsi="inherit" w:cs="宋体"/>
          <w:b/>
          <w:bCs/>
          <w:color w:val="000000"/>
          <w:kern w:val="0"/>
          <w:szCs w:val="21"/>
        </w:rPr>
        <w:t>招生专业：</w:t>
      </w:r>
      <w:r>
        <w:rPr>
          <w:rFonts w:hint="eastAsia" w:ascii="inherit" w:hAnsi="inherit" w:cs="宋体"/>
          <w:color w:val="000000"/>
          <w:kern w:val="0"/>
          <w:szCs w:val="21"/>
        </w:rPr>
        <w:t>微生物与生化药学</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jc w:val="left"/>
        <w:rPr>
          <w:rFonts w:ascii="inherit" w:hAnsi="inherit" w:cs="宋体"/>
          <w:color w:val="000000"/>
          <w:kern w:val="0"/>
          <w:szCs w:val="21"/>
        </w:rPr>
      </w:pPr>
      <w:r>
        <w:rPr>
          <w:rFonts w:ascii="inherit" w:hAnsi="inherit" w:cs="宋体"/>
          <w:b/>
          <w:bCs/>
          <w:color w:val="000000"/>
          <w:kern w:val="0"/>
          <w:szCs w:val="21"/>
        </w:rPr>
        <w:t>主要研究方向：</w:t>
      </w:r>
      <w:r>
        <w:rPr>
          <w:rFonts w:hint="eastAsia" w:ascii="inherit" w:hAnsi="inherit" w:cs="宋体"/>
          <w:color w:val="000000"/>
          <w:kern w:val="0"/>
          <w:szCs w:val="21"/>
        </w:rPr>
        <w:t>糖链</w:t>
      </w:r>
      <w:r>
        <w:rPr>
          <w:rFonts w:ascii="inherit" w:hAnsi="inherit" w:cs="宋体"/>
          <w:color w:val="000000"/>
          <w:kern w:val="0"/>
          <w:szCs w:val="21"/>
        </w:rPr>
        <w:t>生物合成元件的发掘与改造；</w:t>
      </w:r>
      <w:r>
        <w:rPr>
          <w:rFonts w:hint="eastAsia" w:ascii="inherit" w:hAnsi="inherit" w:cs="宋体"/>
          <w:color w:val="000000"/>
          <w:kern w:val="0"/>
          <w:szCs w:val="21"/>
        </w:rPr>
        <w:t>糖链生物合成新策略及其模块化、工程化应用</w:t>
      </w:r>
      <w:r>
        <w:rPr>
          <w:rFonts w:ascii="inherit" w:hAnsi="inherit" w:cs="宋体"/>
          <w:color w:val="000000"/>
          <w:kern w:val="0"/>
          <w:szCs w:val="21"/>
        </w:rPr>
        <w:t>；</w:t>
      </w:r>
      <w:r>
        <w:rPr>
          <w:rFonts w:hint="eastAsia" w:ascii="inherit" w:hAnsi="inherit" w:cs="宋体"/>
          <w:color w:val="000000"/>
          <w:kern w:val="0"/>
          <w:szCs w:val="21"/>
        </w:rPr>
        <w:t>海洋</w:t>
      </w:r>
      <w:r>
        <w:rPr>
          <w:rFonts w:ascii="inherit" w:hAnsi="inherit" w:cs="宋体"/>
          <w:color w:val="000000"/>
          <w:kern w:val="0"/>
          <w:szCs w:val="21"/>
        </w:rPr>
        <w:t>活性寡糖与多糖的生物合成；</w:t>
      </w:r>
      <w:r>
        <w:rPr>
          <w:rFonts w:hint="eastAsia" w:ascii="inherit" w:hAnsi="inherit" w:cs="宋体"/>
          <w:color w:val="000000"/>
          <w:kern w:val="0"/>
          <w:szCs w:val="21"/>
        </w:rPr>
        <w:t>功能</w:t>
      </w:r>
      <w:r>
        <w:rPr>
          <w:rFonts w:ascii="inherit" w:hAnsi="inherit" w:cs="宋体"/>
          <w:color w:val="000000"/>
          <w:kern w:val="0"/>
          <w:szCs w:val="21"/>
        </w:rPr>
        <w:t>糖与糖类药物的研究开发。</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jc w:val="left"/>
      </w:pPr>
      <w:r>
        <w:rPr>
          <w:rFonts w:ascii="inherit" w:hAnsi="inherit" w:cs="宋体"/>
          <w:b/>
          <w:bCs/>
          <w:color w:val="000000"/>
          <w:kern w:val="0"/>
          <w:szCs w:val="21"/>
        </w:rPr>
        <w:t>近三年主要研究成果、在研项目及经费：</w:t>
      </w:r>
      <w:r>
        <w:rPr>
          <w:rFonts w:hint="eastAsia"/>
        </w:rPr>
        <w:t>从微生物中发掘和改造了几十种糖链合成加工酶，发展了糖链酶法合成的模块化组装策略，实现了上百种具有重要生物活性复杂糖链的系统性合成；在</w:t>
      </w:r>
      <w:r>
        <w:rPr>
          <w:rFonts w:hint="eastAsia"/>
          <w:i/>
        </w:rPr>
        <w:t>Nat. Catal., J. Am. Chem. Soc., Angew. Chem. Int. Ed.</w:t>
      </w:r>
      <w:r>
        <w:rPr>
          <w:rFonts w:hint="eastAsia"/>
        </w:rPr>
        <w:t>等知名期刊发表10余篇研究论文，获授权中国发明专利1项，2020年获得日本Mizutani糖科学基金会Research Grant Award， 2019年获中国化学会—巴斯夫公司青年知识创新奖。目前主持在研项目有：国家自然基金国际合作项目、国家自然科学基金面上项目、中国海洋大学“筑峰</w:t>
      </w:r>
      <w:r>
        <w:t>人才工程</w:t>
      </w:r>
      <w:r>
        <w:rPr>
          <w:rFonts w:hint="eastAsia"/>
        </w:rPr>
        <w:t>”科研基金等4项，总经费400余万元。</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jc w:val="left"/>
        <w:rPr>
          <w:rFonts w:ascii="inherit" w:hAnsi="inherit" w:cs="宋体"/>
          <w:color w:val="000000"/>
          <w:kern w:val="0"/>
          <w:szCs w:val="21"/>
        </w:rPr>
      </w:pPr>
      <w:r>
        <w:rPr>
          <w:rFonts w:hint="eastAsia" w:ascii="inherit" w:hAnsi="inherit" w:cs="宋体"/>
          <w:b/>
          <w:bCs/>
          <w:color w:val="000000"/>
          <w:kern w:val="0"/>
          <w:szCs w:val="21"/>
        </w:rPr>
        <w:t xml:space="preserve">27.朱天骄 </w:t>
      </w:r>
      <w:r>
        <w:rPr>
          <w:rFonts w:hint="eastAsia" w:ascii="inherit" w:hAnsi="inherit" w:cs="宋体"/>
          <w:color w:val="000000"/>
          <w:kern w:val="0"/>
          <w:szCs w:val="21"/>
        </w:rPr>
        <w:t>联系方式：zhutj@ouc.edu.cn</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jc w:val="left"/>
        <w:rPr>
          <w:rFonts w:ascii="inherit" w:hAnsi="inherit" w:cs="宋体"/>
          <w:color w:val="000000"/>
          <w:kern w:val="0"/>
          <w:szCs w:val="21"/>
        </w:rPr>
      </w:pPr>
      <w:r>
        <w:rPr>
          <w:rFonts w:hint="eastAsia" w:ascii="inherit" w:hAnsi="inherit" w:cs="宋体"/>
          <w:b/>
          <w:bCs/>
          <w:color w:val="000000"/>
          <w:kern w:val="0"/>
          <w:szCs w:val="21"/>
        </w:rPr>
        <w:t>招生专业：</w:t>
      </w:r>
      <w:r>
        <w:rPr>
          <w:rFonts w:hint="eastAsia" w:ascii="inherit" w:hAnsi="inherit" w:cs="宋体"/>
          <w:color w:val="000000"/>
          <w:kern w:val="0"/>
          <w:szCs w:val="21"/>
        </w:rPr>
        <w:t>微生物与生化药学</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jc w:val="left"/>
        <w:rPr>
          <w:rFonts w:ascii="inherit" w:hAnsi="inherit" w:cs="宋体"/>
          <w:color w:val="000000"/>
          <w:kern w:val="0"/>
          <w:szCs w:val="21"/>
        </w:rPr>
      </w:pPr>
      <w:r>
        <w:rPr>
          <w:rFonts w:hint="eastAsia" w:ascii="inherit" w:hAnsi="inherit" w:cs="宋体"/>
          <w:b/>
          <w:bCs/>
          <w:color w:val="000000"/>
          <w:kern w:val="0"/>
          <w:szCs w:val="21"/>
        </w:rPr>
        <w:t>研究方向：</w:t>
      </w:r>
      <w:r>
        <w:rPr>
          <w:rFonts w:hint="eastAsia" w:ascii="inherit" w:hAnsi="inherit" w:cs="宋体"/>
          <w:color w:val="000000"/>
          <w:kern w:val="0"/>
          <w:szCs w:val="21"/>
        </w:rPr>
        <w:t>海洋微生物、极端环境微生物药用资源研究；微生物代谢产物发现新方法的研究；创新候选药物的发现及成药性评价。</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pPr>
      <w:r>
        <w:rPr>
          <w:rFonts w:hint="eastAsia" w:ascii="inherit" w:hAnsi="inherit" w:cs="宋体"/>
          <w:b/>
          <w:bCs/>
          <w:color w:val="000000"/>
          <w:kern w:val="0"/>
          <w:szCs w:val="21"/>
        </w:rPr>
        <w:t>近三年主要研究成果、在研项目及经费：</w:t>
      </w:r>
      <w:r>
        <w:rPr>
          <w:rFonts w:hint="eastAsia"/>
        </w:rPr>
        <w:t>开展海洋、极地等特殊环境微生物药用资源研究，建立了较为系统的极地微生物资源库、代谢产物组分库和化合物库，为海洋微生物药用研究提供了物质基础。发现了高活性靶向HSP90的抗肿瘤先导化合物及降脂活性先导化合物。以通讯作者发表SCI收录论文10余篇。在研项目</w:t>
      </w:r>
      <w:r>
        <w:t>有</w:t>
      </w:r>
      <w:r>
        <w:rPr>
          <w:rFonts w:hint="eastAsia"/>
        </w:rPr>
        <w:t>国家自然科学基金（主持，78万元）、山东省自然科学基金重大基础研究项目（主持，144万元）、国家科技重大专项重大新药创制项目（子课题负责人，347.33万元）、国家重点研发计划项目（参加，86万元）等。</w:t>
      </w:r>
    </w:p>
    <w:p>
      <w:pPr>
        <w:snapToGrid w:val="0"/>
        <w:spacing w:line="400" w:lineRule="exact"/>
        <w:jc w:val="left"/>
        <w:rPr>
          <w:u w:val="single"/>
        </w:rPr>
      </w:pPr>
      <w:r>
        <w:rPr>
          <w:rFonts w:hint="eastAsia"/>
          <w:b/>
          <w:bCs/>
        </w:rPr>
        <w:t xml:space="preserve">28. </w:t>
      </w:r>
      <w:r>
        <w:rPr>
          <w:rFonts w:hint="eastAsia"/>
          <w:b/>
        </w:rPr>
        <w:t xml:space="preserve">李 静  </w:t>
      </w:r>
      <w:r>
        <w:rPr>
          <w:rFonts w:hint="eastAsia"/>
        </w:rPr>
        <w:t>联系方式：</w:t>
      </w:r>
      <w:r>
        <w:rPr>
          <w:rFonts w:hint="eastAsia"/>
          <w:bCs/>
          <w:u w:val="single"/>
        </w:rPr>
        <w:t>lijing_ouc@ouc.edu.cn</w:t>
      </w:r>
    </w:p>
    <w:p>
      <w:pPr>
        <w:snapToGrid w:val="0"/>
        <w:spacing w:line="400" w:lineRule="exact"/>
        <w:ind w:left="249" w:leftChars="18" w:hanging="211" w:hangingChars="100"/>
        <w:jc w:val="left"/>
      </w:pPr>
      <w:r>
        <w:rPr>
          <w:rFonts w:hint="eastAsia"/>
          <w:b/>
        </w:rPr>
        <w:t>招生专业：</w:t>
      </w:r>
      <w:r>
        <w:rPr>
          <w:rFonts w:hint="eastAsia"/>
        </w:rPr>
        <w:t>药理学</w:t>
      </w:r>
    </w:p>
    <w:p>
      <w:pPr>
        <w:snapToGrid w:val="0"/>
        <w:spacing w:line="400" w:lineRule="exact"/>
      </w:pPr>
      <w:r>
        <w:rPr>
          <w:rFonts w:hint="eastAsia"/>
          <w:b/>
        </w:rPr>
        <w:t>研究方向：</w:t>
      </w:r>
      <w:r>
        <w:rPr>
          <w:rFonts w:hint="eastAsia"/>
        </w:rPr>
        <w:t>抗肿瘤先导化合物的筛选；肿瘤新药作用机制研究；肿瘤药物新靶标发现；抗肿瘤新药早期成药性评价。</w:t>
      </w:r>
    </w:p>
    <w:p>
      <w:pPr>
        <w:snapToGrid w:val="0"/>
        <w:spacing w:line="400" w:lineRule="exact"/>
      </w:pPr>
      <w:r>
        <w:rPr>
          <w:rFonts w:hint="eastAsia"/>
          <w:b/>
        </w:rPr>
        <w:t>近三年</w:t>
      </w:r>
      <w:r>
        <w:rPr>
          <w:b/>
        </w:rPr>
        <w:t>主要研究成果</w:t>
      </w:r>
      <w:r>
        <w:rPr>
          <w:rFonts w:hint="eastAsia"/>
          <w:b/>
        </w:rPr>
        <w:t>、</w:t>
      </w:r>
      <w:r>
        <w:rPr>
          <w:b/>
        </w:rPr>
        <w:t>在研项目及经费</w:t>
      </w:r>
      <w:r>
        <w:rPr>
          <w:rFonts w:hint="eastAsia"/>
        </w:rPr>
        <w:t>：长期致力于肿瘤海洋新药的研究与开发以及肿瘤新靶标研究。筛选海洋化合物万余次，发现Hsp90、PGK1、Stat3等靶点抑制剂10多个，系统完成5个抗肿瘤候选药物的早期成药性评价。在</w:t>
      </w:r>
      <w:r>
        <w:rPr>
          <w:rFonts w:hint="eastAsia"/>
          <w:i/>
        </w:rPr>
        <w:t>Am J Cancer Res.、 Biochem Pharmacol.、 Oncotarget、Molecular Pharmacology、J. Exp. Med.、JNCI</w:t>
      </w:r>
      <w:r>
        <w:rPr>
          <w:rFonts w:hint="eastAsia"/>
        </w:rPr>
        <w:t>等国际期刊上发表SCI学术论文60余篇，获授权国家发明专利8项。现任中国药理学会海洋药物药理专业委员会秘书长，山东省药理学会常务理事。《中国海洋药物》杂志编委。在研项目：国家自然科学基金面上项目，国家自然科学基金委-山东省联合自然科学基金，山东省自然科学基金（重大基础研究）项目等，在研课题经费约200万元。</w:t>
      </w:r>
    </w:p>
    <w:p>
      <w:pPr>
        <w:snapToGrid w:val="0"/>
        <w:spacing w:line="400" w:lineRule="exact"/>
        <w:rPr>
          <w:szCs w:val="21"/>
        </w:rPr>
      </w:pPr>
      <w:r>
        <w:rPr>
          <w:rFonts w:hint="eastAsia"/>
        </w:rPr>
        <w:t>29.</w:t>
      </w:r>
      <w:r>
        <w:rPr>
          <w:rFonts w:hint="eastAsia"/>
          <w:b/>
          <w:szCs w:val="21"/>
        </w:rPr>
        <w:t xml:space="preserve"> 杨金波  </w:t>
      </w:r>
      <w:r>
        <w:rPr>
          <w:rFonts w:hint="eastAsia"/>
          <w:szCs w:val="21"/>
        </w:rPr>
        <w:t>联系方式: 电话 0532-85906810; 邮箱 yangjb@ouc.edu.cn</w:t>
      </w:r>
    </w:p>
    <w:p>
      <w:pPr>
        <w:snapToGrid w:val="0"/>
        <w:spacing w:line="400" w:lineRule="exact"/>
        <w:ind w:left="249" w:leftChars="18" w:hanging="211" w:hangingChars="100"/>
        <w:jc w:val="left"/>
        <w:rPr>
          <w:szCs w:val="21"/>
        </w:rPr>
      </w:pPr>
      <w:r>
        <w:rPr>
          <w:rFonts w:hint="eastAsia"/>
          <w:b/>
          <w:szCs w:val="21"/>
        </w:rPr>
        <w:t>招生专业：</w:t>
      </w:r>
      <w:r>
        <w:rPr>
          <w:rFonts w:hint="eastAsia"/>
          <w:szCs w:val="21"/>
        </w:rPr>
        <w:t>药理学</w:t>
      </w:r>
    </w:p>
    <w:p>
      <w:pPr>
        <w:snapToGrid w:val="0"/>
        <w:spacing w:line="400" w:lineRule="exact"/>
        <w:rPr>
          <w:szCs w:val="21"/>
        </w:rPr>
      </w:pPr>
      <w:r>
        <w:rPr>
          <w:rFonts w:hint="eastAsia"/>
          <w:b/>
          <w:szCs w:val="21"/>
        </w:rPr>
        <w:t>研究方向：</w:t>
      </w:r>
      <w:r>
        <w:rPr>
          <w:rFonts w:hint="eastAsia"/>
          <w:szCs w:val="21"/>
        </w:rPr>
        <w:t>肿瘤生物学、肿瘤免疫学、分子药理学，重点研究 JAK-STATs、NFkB、EGF、PD-1/PD-L1等信号转导关键分子与药物靶标、信号转导分子表观遗传学以及构建基于药物分子靶标的高通量药物筛选体系以及基于智能超算与生物实测耦合的药物虚拟筛选技术体系用于海洋创新药物筛选及成药性研究</w:t>
      </w:r>
      <w:r>
        <w:rPr>
          <w:rFonts w:hint="eastAsia"/>
          <w:b/>
          <w:szCs w:val="21"/>
        </w:rPr>
        <w:t>。</w:t>
      </w:r>
    </w:p>
    <w:p>
      <w:pPr>
        <w:snapToGrid w:val="0"/>
        <w:spacing w:line="400" w:lineRule="exact"/>
      </w:pPr>
      <w:r>
        <w:rPr>
          <w:rFonts w:hint="eastAsia"/>
          <w:b/>
          <w:szCs w:val="21"/>
        </w:rPr>
        <w:t>近三年主要研究成果、在研项目及经费：</w:t>
      </w:r>
      <w:r>
        <w:rPr>
          <w:rFonts w:hint="eastAsia"/>
        </w:rPr>
        <w:t>山东省“泰山学者”特聘专家；“筑峰人才</w:t>
      </w:r>
      <w:r>
        <w:t>工程</w:t>
      </w:r>
      <w:r>
        <w:rPr>
          <w:rFonts w:hint="eastAsia"/>
        </w:rPr>
        <w:t>”二层次教授、青岛海洋生物医药研究院首席科学家、青岛海洋科学与技术国家实验室海洋创新药物筛选与评价平台主任。近三年以通讯作者在</w:t>
      </w:r>
      <w:r>
        <w:rPr>
          <w:rFonts w:hint="eastAsia"/>
          <w:i/>
        </w:rPr>
        <w:t>J Hepatology、Cell Research、PNAS、Plos Biology、Carbohydrate Polymers</w:t>
      </w:r>
      <w:r>
        <w:rPr>
          <w:rFonts w:hint="eastAsia"/>
        </w:rPr>
        <w:t>等杂志发表论文12篇。在研项目：“筑峰人才工程”（300万）、青岛市“蓝色汇智双百人才”项目（40万）、海洋国家实验室“鳌山人才”卓越科学家专项（240万）、山东省重大科技创新工程“蓝色药库”项目（800万）、国家重大专项“海洋生物来源化合物库建设”子课题（456万）。</w:t>
      </w:r>
    </w:p>
    <w:p>
      <w:pPr>
        <w:snapToGrid w:val="0"/>
        <w:spacing w:line="400" w:lineRule="exact"/>
        <w:ind w:left="-172" w:leftChars="-82" w:firstLine="211" w:firstLineChars="100"/>
        <w:jc w:val="left"/>
        <w:rPr>
          <w:rFonts w:ascii="宋体" w:hAnsi="宋体" w:cs="宋体"/>
          <w:bCs/>
          <w:szCs w:val="21"/>
        </w:rPr>
      </w:pPr>
      <w:r>
        <w:rPr>
          <w:rFonts w:hint="eastAsia" w:ascii="宋体" w:hAnsi="宋体" w:cs="宋体"/>
          <w:b/>
          <w:bCs/>
          <w:szCs w:val="21"/>
        </w:rPr>
        <w:t xml:space="preserve">30.顾玉超    </w:t>
      </w:r>
      <w:r>
        <w:rPr>
          <w:rFonts w:hint="eastAsia" w:ascii="宋体" w:hAnsi="宋体" w:cs="宋体"/>
          <w:bCs/>
          <w:szCs w:val="21"/>
        </w:rPr>
        <w:t>联系方式： 0532-82032067 ； Email: guych@126.com</w:t>
      </w:r>
    </w:p>
    <w:p>
      <w:pPr>
        <w:snapToGrid w:val="0"/>
        <w:spacing w:line="400" w:lineRule="exact"/>
        <w:rPr>
          <w:rFonts w:ascii="宋体" w:hAnsi="宋体" w:cs="宋体"/>
          <w:bCs/>
          <w:szCs w:val="21"/>
        </w:rPr>
      </w:pPr>
      <w:r>
        <w:rPr>
          <w:rFonts w:hint="eastAsia" w:ascii="宋体" w:hAnsi="宋体" w:cs="宋体"/>
          <w:b/>
          <w:bCs/>
          <w:szCs w:val="21"/>
        </w:rPr>
        <w:t>招生专业：</w:t>
      </w:r>
      <w:r>
        <w:rPr>
          <w:rFonts w:hint="eastAsia" w:ascii="宋体" w:hAnsi="宋体" w:cs="宋体"/>
          <w:bCs/>
          <w:szCs w:val="21"/>
        </w:rPr>
        <w:t xml:space="preserve"> 药理学</w:t>
      </w:r>
    </w:p>
    <w:p>
      <w:pPr>
        <w:snapToGrid w:val="0"/>
        <w:spacing w:line="400" w:lineRule="exact"/>
        <w:rPr>
          <w:rFonts w:ascii="宋体" w:hAnsi="宋体" w:cs="宋体"/>
          <w:bCs/>
          <w:szCs w:val="21"/>
        </w:rPr>
      </w:pPr>
      <w:r>
        <w:rPr>
          <w:rFonts w:hint="eastAsia" w:ascii="宋体" w:hAnsi="宋体" w:cs="宋体"/>
          <w:b/>
          <w:bCs/>
          <w:szCs w:val="21"/>
        </w:rPr>
        <w:t>主要研究方向：</w:t>
      </w:r>
      <w:r>
        <w:rPr>
          <w:rFonts w:hint="eastAsia" w:ascii="宋体" w:hAnsi="宋体" w:cs="宋体"/>
          <w:bCs/>
          <w:szCs w:val="21"/>
        </w:rPr>
        <w:t>糖生物学、分子肿瘤和分子药理学：（1）O-GlcNAc修饰在肿瘤发生和发展过程中的作用和机制研究；（2）治疗性抗体发现和开发研究；（3）基于O-GlcNAc修饰研究的疾病新靶点的发现和海洋药物开发。</w:t>
      </w:r>
    </w:p>
    <w:p>
      <w:pPr>
        <w:snapToGrid w:val="0"/>
        <w:spacing w:line="400" w:lineRule="exact"/>
      </w:pPr>
      <w:r>
        <w:rPr>
          <w:rFonts w:hint="eastAsia" w:ascii="宋体" w:hAnsi="宋体" w:cs="宋体"/>
          <w:b/>
          <w:bCs/>
          <w:szCs w:val="21"/>
        </w:rPr>
        <w:t>近三年主要研究成果、在研项目及经费：</w:t>
      </w:r>
      <w:r>
        <w:rPr>
          <w:rFonts w:hint="eastAsia"/>
        </w:rPr>
        <w:t>首次揭示了O-GlcNAc糖基化修饰在肿瘤发生发展过程中的作用和分子机制；首次发现SIRT1蛋白被O-GlcNAc修饰，并阐明了在应激条件下O-GlcNAc修饰激活SIRT1并发挥细胞保护作用的分子机制。先后在</w:t>
      </w:r>
      <w:r>
        <w:rPr>
          <w:rFonts w:hint="eastAsia"/>
          <w:i/>
        </w:rPr>
        <w:t>Nature Communications、Cancer Res、Cell Death &amp; Disease</w:t>
      </w:r>
      <w:r>
        <w:rPr>
          <w:rFonts w:hint="eastAsia"/>
        </w:rPr>
        <w:t>和</w:t>
      </w:r>
      <w:r>
        <w:rPr>
          <w:rFonts w:hint="eastAsia"/>
          <w:i/>
        </w:rPr>
        <w:t>EUR J MED CHEM</w:t>
      </w:r>
      <w:r>
        <w:rPr>
          <w:rFonts w:hint="eastAsia"/>
        </w:rPr>
        <w:t>等高水平国际期刊发表SCI收录论文2</w:t>
      </w:r>
      <w:r>
        <w:t>0</w:t>
      </w:r>
      <w:r>
        <w:rPr>
          <w:rFonts w:hint="eastAsia"/>
        </w:rPr>
        <w:t>余篇。目前主持和参与了国家自然科学基金项目和NSFC-山东省联合基金项目等多项课题，科研经费合计300余万元。</w:t>
      </w:r>
    </w:p>
    <w:p>
      <w:pPr>
        <w:snapToGrid w:val="0"/>
        <w:spacing w:line="400" w:lineRule="exact"/>
        <w:rPr>
          <w:rFonts w:ascii="宋体" w:hAnsi="宋体" w:cs="宋体"/>
          <w:bCs/>
          <w:szCs w:val="21"/>
        </w:rPr>
      </w:pPr>
      <w:r>
        <w:rPr>
          <w:rFonts w:hint="eastAsia" w:ascii="宋体" w:hAnsi="宋体" w:cs="宋体"/>
          <w:b/>
          <w:bCs/>
          <w:szCs w:val="21"/>
        </w:rPr>
        <w:t xml:space="preserve">31.王鑫 </w:t>
      </w:r>
      <w:r>
        <w:rPr>
          <w:rFonts w:hint="eastAsia" w:ascii="宋体" w:hAnsi="宋体" w:cs="宋体"/>
          <w:bCs/>
          <w:szCs w:val="21"/>
        </w:rPr>
        <w:t xml:space="preserve"> 联系方式: 电话 0532-859068</w:t>
      </w:r>
      <w:r>
        <w:rPr>
          <w:rFonts w:ascii="宋体" w:hAnsi="宋体" w:cs="宋体"/>
          <w:bCs/>
          <w:szCs w:val="21"/>
        </w:rPr>
        <w:t>2</w:t>
      </w:r>
      <w:r>
        <w:rPr>
          <w:rFonts w:hint="eastAsia" w:ascii="宋体" w:hAnsi="宋体" w:cs="宋体"/>
          <w:bCs/>
          <w:szCs w:val="21"/>
        </w:rPr>
        <w:t>0; 邮箱 wx8399@ouc.edu.cn</w:t>
      </w:r>
    </w:p>
    <w:p>
      <w:pPr>
        <w:snapToGrid w:val="0"/>
        <w:spacing w:line="400" w:lineRule="exact"/>
        <w:rPr>
          <w:rFonts w:ascii="宋体" w:hAnsi="宋体" w:cs="宋体"/>
          <w:bCs/>
          <w:szCs w:val="21"/>
        </w:rPr>
      </w:pPr>
      <w:r>
        <w:rPr>
          <w:rFonts w:hint="eastAsia" w:ascii="宋体" w:hAnsi="宋体" w:cs="宋体"/>
          <w:b/>
          <w:bCs/>
          <w:szCs w:val="21"/>
        </w:rPr>
        <w:t>招生专业：</w:t>
      </w:r>
      <w:r>
        <w:rPr>
          <w:rFonts w:hint="eastAsia" w:ascii="宋体" w:hAnsi="宋体" w:cs="宋体"/>
          <w:bCs/>
          <w:szCs w:val="21"/>
        </w:rPr>
        <w:t>药理学</w:t>
      </w:r>
    </w:p>
    <w:p>
      <w:pPr>
        <w:snapToGrid w:val="0"/>
        <w:spacing w:line="400" w:lineRule="exact"/>
        <w:ind w:left="38" w:leftChars="18"/>
        <w:rPr>
          <w:rFonts w:ascii="宋体" w:hAnsi="宋体" w:cs="宋体"/>
          <w:bCs/>
          <w:szCs w:val="21"/>
        </w:rPr>
      </w:pPr>
      <w:r>
        <w:rPr>
          <w:rFonts w:hint="eastAsia" w:ascii="宋体" w:hAnsi="宋体" w:cs="宋体"/>
          <w:b/>
          <w:bCs/>
          <w:szCs w:val="21"/>
        </w:rPr>
        <w:t>研究方向：</w:t>
      </w:r>
      <w:r>
        <w:rPr>
          <w:rFonts w:hint="eastAsia" w:ascii="宋体" w:hAnsi="宋体" w:cs="宋体"/>
          <w:bCs/>
          <w:szCs w:val="21"/>
        </w:rPr>
        <w:t>智能药理学，利用计算机科学和分子生物学的交叉优势，在人工智能的帮助下，利用多种研究手段发现新靶点，开发新药物。重点研究抗乙肝病毒药物、抗冠状病毒药物和开发基于新靶点的“老药新用”。</w:t>
      </w:r>
    </w:p>
    <w:p>
      <w:pPr>
        <w:snapToGrid w:val="0"/>
        <w:spacing w:line="400" w:lineRule="exact"/>
        <w:ind w:left="38" w:leftChars="18"/>
        <w:rPr>
          <w:rFonts w:ascii="宋体" w:hAnsi="宋体" w:cs="宋体"/>
          <w:bCs/>
          <w:szCs w:val="21"/>
        </w:rPr>
      </w:pPr>
      <w:r>
        <w:rPr>
          <w:rFonts w:hint="eastAsia" w:ascii="宋体" w:hAnsi="宋体" w:cs="宋体"/>
          <w:b/>
          <w:bCs/>
          <w:szCs w:val="21"/>
        </w:rPr>
        <w:t>近三年主要研究成果、在研项目及经费：</w:t>
      </w:r>
      <w:r>
        <w:rPr>
          <w:rFonts w:hint="eastAsia" w:ascii="宋体" w:hAnsi="宋体" w:cs="宋体"/>
          <w:bCs/>
          <w:szCs w:val="21"/>
        </w:rPr>
        <w:t>山东省泰山学者青年专家，青岛市创新领军人才，“青年英才工程”一层次教授。近三年在</w:t>
      </w:r>
      <w:r>
        <w:rPr>
          <w:rFonts w:hint="eastAsia" w:ascii="宋体" w:hAnsi="宋体" w:cs="宋体"/>
          <w:bCs/>
          <w:i/>
          <w:szCs w:val="21"/>
        </w:rPr>
        <w:t>PNAS、Science</w:t>
      </w:r>
      <w:r>
        <w:rPr>
          <w:rFonts w:ascii="宋体" w:hAnsi="宋体" w:cs="宋体"/>
          <w:bCs/>
          <w:i/>
          <w:szCs w:val="21"/>
        </w:rPr>
        <w:t xml:space="preserve"> </w:t>
      </w:r>
      <w:r>
        <w:rPr>
          <w:rFonts w:hint="eastAsia" w:ascii="宋体" w:hAnsi="宋体" w:cs="宋体"/>
          <w:bCs/>
          <w:i/>
          <w:szCs w:val="21"/>
        </w:rPr>
        <w:t>Immunology、Cell</w:t>
      </w:r>
      <w:r>
        <w:rPr>
          <w:rFonts w:ascii="宋体" w:hAnsi="宋体" w:cs="宋体"/>
          <w:bCs/>
          <w:i/>
          <w:szCs w:val="21"/>
        </w:rPr>
        <w:t xml:space="preserve"> </w:t>
      </w:r>
      <w:r>
        <w:rPr>
          <w:rFonts w:hint="eastAsia" w:ascii="宋体" w:hAnsi="宋体" w:cs="宋体"/>
          <w:bCs/>
          <w:i/>
          <w:szCs w:val="21"/>
        </w:rPr>
        <w:t>Research、 Carbohydr</w:t>
      </w:r>
      <w:r>
        <w:rPr>
          <w:rFonts w:ascii="宋体" w:hAnsi="宋体" w:cs="宋体"/>
          <w:bCs/>
          <w:i/>
          <w:szCs w:val="21"/>
        </w:rPr>
        <w:t xml:space="preserve"> </w:t>
      </w:r>
      <w:r>
        <w:rPr>
          <w:rFonts w:hint="eastAsia" w:ascii="宋体" w:hAnsi="宋体" w:cs="宋体"/>
          <w:bCs/>
          <w:i/>
          <w:szCs w:val="21"/>
        </w:rPr>
        <w:t>Polym、Nature</w:t>
      </w:r>
      <w:r>
        <w:rPr>
          <w:rFonts w:ascii="宋体" w:hAnsi="宋体" w:cs="宋体"/>
          <w:bCs/>
          <w:i/>
          <w:szCs w:val="21"/>
        </w:rPr>
        <w:t xml:space="preserve"> Communication</w:t>
      </w:r>
      <w:r>
        <w:rPr>
          <w:rFonts w:hint="eastAsia" w:ascii="宋体" w:hAnsi="宋体" w:cs="宋体"/>
          <w:bCs/>
          <w:i/>
          <w:szCs w:val="21"/>
        </w:rPr>
        <w:t>s和EMBO</w:t>
      </w:r>
      <w:r>
        <w:rPr>
          <w:rFonts w:ascii="宋体" w:hAnsi="宋体" w:cs="宋体"/>
          <w:bCs/>
          <w:i/>
          <w:szCs w:val="21"/>
        </w:rPr>
        <w:t xml:space="preserve"> J</w:t>
      </w:r>
      <w:r>
        <w:rPr>
          <w:rFonts w:hint="eastAsia" w:ascii="宋体" w:hAnsi="宋体" w:cs="宋体"/>
          <w:bCs/>
          <w:szCs w:val="21"/>
        </w:rPr>
        <w:t>等杂志发表论文多篇，2</w:t>
      </w:r>
      <w:r>
        <w:rPr>
          <w:rFonts w:ascii="宋体" w:hAnsi="宋体" w:cs="宋体"/>
          <w:bCs/>
          <w:szCs w:val="21"/>
        </w:rPr>
        <w:t>016</w:t>
      </w:r>
      <w:r>
        <w:rPr>
          <w:rFonts w:hint="eastAsia" w:ascii="宋体" w:hAnsi="宋体" w:cs="宋体"/>
          <w:bCs/>
          <w:szCs w:val="21"/>
        </w:rPr>
        <w:t>年的Cell</w:t>
      </w:r>
      <w:r>
        <w:rPr>
          <w:rFonts w:ascii="宋体" w:hAnsi="宋体" w:cs="宋体"/>
          <w:bCs/>
          <w:szCs w:val="21"/>
        </w:rPr>
        <w:t xml:space="preserve"> Host </w:t>
      </w:r>
      <w:r>
        <w:rPr>
          <w:rFonts w:hint="eastAsia" w:ascii="宋体" w:hAnsi="宋体" w:cs="宋体"/>
          <w:bCs/>
          <w:szCs w:val="21"/>
        </w:rPr>
        <w:t>&amp;</w:t>
      </w:r>
      <w:r>
        <w:rPr>
          <w:rFonts w:ascii="宋体" w:hAnsi="宋体" w:cs="宋体"/>
          <w:bCs/>
          <w:szCs w:val="21"/>
        </w:rPr>
        <w:t xml:space="preserve"> Microbe 论文被F1000数据库收录推荐</w:t>
      </w:r>
      <w:r>
        <w:rPr>
          <w:rFonts w:hint="eastAsia" w:ascii="宋体" w:hAnsi="宋体" w:cs="宋体"/>
          <w:bCs/>
          <w:szCs w:val="21"/>
        </w:rPr>
        <w:t>。申请新药专利6项，其中主持研制的抗乙肝病毒药物已申请国际PCT专利，并初步实现转化（获得企业研发经费5</w:t>
      </w:r>
      <w:r>
        <w:rPr>
          <w:rFonts w:ascii="宋体" w:hAnsi="宋体" w:cs="宋体"/>
          <w:bCs/>
          <w:szCs w:val="21"/>
        </w:rPr>
        <w:t>00</w:t>
      </w:r>
      <w:r>
        <w:rPr>
          <w:rFonts w:hint="eastAsia" w:ascii="宋体" w:hAnsi="宋体" w:cs="宋体"/>
          <w:bCs/>
          <w:szCs w:val="21"/>
        </w:rPr>
        <w:t>余万元）。经费主要来源于国家自然科学基金委项目、山东省人才项目、青岛市人才项目和海洋试点国家实验室项目和制药企业合作经费等，可支配经费超过</w:t>
      </w:r>
      <w:r>
        <w:rPr>
          <w:rFonts w:ascii="宋体" w:hAnsi="宋体" w:cs="宋体"/>
          <w:bCs/>
          <w:szCs w:val="21"/>
        </w:rPr>
        <w:t>700</w:t>
      </w:r>
      <w:r>
        <w:rPr>
          <w:rFonts w:hint="eastAsia" w:ascii="宋体" w:hAnsi="宋体" w:cs="宋体"/>
          <w:bCs/>
          <w:szCs w:val="21"/>
        </w:rPr>
        <w:t>万元。</w:t>
      </w:r>
    </w:p>
    <w:p>
      <w:pPr>
        <w:snapToGrid w:val="0"/>
        <w:spacing w:line="400" w:lineRule="exact"/>
        <w:jc w:val="left"/>
        <w:rPr>
          <w:rFonts w:ascii="宋体" w:hAnsi="宋体" w:cs="宋体"/>
          <w:bCs/>
          <w:szCs w:val="21"/>
        </w:rPr>
      </w:pPr>
      <w:r>
        <w:rPr>
          <w:rFonts w:hint="eastAsia"/>
          <w:b/>
          <w:bCs/>
        </w:rPr>
        <w:t>32.刘 明</w:t>
      </w:r>
      <w:r>
        <w:rPr>
          <w:rFonts w:hint="eastAsia" w:ascii="宋体" w:hAnsi="宋体" w:cs="宋体"/>
          <w:b/>
          <w:bCs/>
          <w:szCs w:val="21"/>
        </w:rPr>
        <w:t xml:space="preserve">    </w:t>
      </w:r>
      <w:r>
        <w:rPr>
          <w:rFonts w:hint="eastAsia" w:ascii="宋体" w:hAnsi="宋体" w:cs="宋体"/>
          <w:bCs/>
          <w:szCs w:val="21"/>
        </w:rPr>
        <w:t>联系方式： 0532-8203</w:t>
      </w:r>
      <w:r>
        <w:rPr>
          <w:rFonts w:ascii="宋体" w:hAnsi="宋体" w:cs="宋体"/>
          <w:bCs/>
          <w:szCs w:val="21"/>
        </w:rPr>
        <w:t>1980</w:t>
      </w:r>
      <w:r>
        <w:rPr>
          <w:rFonts w:hint="eastAsia" w:ascii="宋体" w:hAnsi="宋体" w:cs="宋体"/>
          <w:bCs/>
          <w:szCs w:val="21"/>
        </w:rPr>
        <w:t xml:space="preserve"> ； Email: </w:t>
      </w:r>
      <w:r>
        <w:rPr>
          <w:rFonts w:ascii="宋体" w:hAnsi="宋体" w:cs="宋体"/>
          <w:bCs/>
          <w:szCs w:val="21"/>
        </w:rPr>
        <w:t>lmouc@hotmail</w:t>
      </w:r>
      <w:r>
        <w:rPr>
          <w:rFonts w:hint="eastAsia" w:ascii="宋体" w:hAnsi="宋体" w:cs="宋体"/>
          <w:bCs/>
          <w:szCs w:val="21"/>
        </w:rPr>
        <w:t>.com</w:t>
      </w:r>
    </w:p>
    <w:p>
      <w:pPr>
        <w:snapToGrid w:val="0"/>
        <w:spacing w:line="400" w:lineRule="exact"/>
        <w:rPr>
          <w:rFonts w:ascii="宋体" w:hAnsi="宋体" w:cs="宋体"/>
          <w:bCs/>
          <w:szCs w:val="21"/>
        </w:rPr>
      </w:pPr>
      <w:r>
        <w:rPr>
          <w:rFonts w:hint="eastAsia" w:ascii="宋体" w:hAnsi="宋体" w:cs="宋体"/>
          <w:b/>
          <w:bCs/>
          <w:szCs w:val="21"/>
        </w:rPr>
        <w:t>招生专业：</w:t>
      </w:r>
      <w:r>
        <w:rPr>
          <w:rFonts w:hint="eastAsia" w:ascii="宋体" w:hAnsi="宋体" w:cs="宋体"/>
          <w:bCs/>
          <w:szCs w:val="21"/>
        </w:rPr>
        <w:t xml:space="preserve"> 药理学</w:t>
      </w:r>
    </w:p>
    <w:p>
      <w:pPr>
        <w:snapToGrid w:val="0"/>
        <w:spacing w:line="400" w:lineRule="exact"/>
        <w:rPr>
          <w:rFonts w:ascii="宋体" w:hAnsi="宋体" w:cs="宋体"/>
          <w:bCs/>
          <w:szCs w:val="21"/>
        </w:rPr>
      </w:pPr>
      <w:r>
        <w:rPr>
          <w:rFonts w:hint="eastAsia" w:ascii="宋体" w:hAnsi="宋体" w:cs="宋体"/>
          <w:b/>
          <w:bCs/>
          <w:szCs w:val="21"/>
        </w:rPr>
        <w:t>主要研究方向：</w:t>
      </w:r>
      <w:r>
        <w:rPr>
          <w:rFonts w:hint="eastAsia" w:ascii="宋体" w:hAnsi="宋体" w:cs="宋体"/>
          <w:bCs/>
          <w:szCs w:val="21"/>
        </w:rPr>
        <w:t>（1）抗肿瘤化合物作用机制的研究（2）化合物的活性筛选及成药性评价</w:t>
      </w:r>
    </w:p>
    <w:p>
      <w:pPr>
        <w:snapToGrid w:val="0"/>
        <w:spacing w:line="400" w:lineRule="exact"/>
        <w:rPr>
          <w:rFonts w:hint="eastAsia" w:ascii="宋体" w:hAnsi="宋体" w:cs="宋体"/>
          <w:bCs/>
          <w:szCs w:val="21"/>
        </w:rPr>
      </w:pPr>
      <w:r>
        <w:rPr>
          <w:rFonts w:hint="eastAsia" w:ascii="宋体" w:hAnsi="宋体" w:cs="宋体"/>
          <w:b/>
          <w:bCs/>
          <w:szCs w:val="21"/>
        </w:rPr>
        <w:t>近三年主要研究成果、在研项目及经费：</w:t>
      </w:r>
      <w:r>
        <w:rPr>
          <w:rFonts w:hint="eastAsia" w:ascii="宋体" w:hAnsi="宋体" w:cs="宋体"/>
          <w:bCs/>
          <w:szCs w:val="21"/>
        </w:rPr>
        <w:t>（1）基于海洋小分子化合物降解癌蛋白策略，发现了2个结构新颖、高活性的候选癌蛋白降解药物（NADA、AS1041），并阐明了其降解癌蛋白（E6/E7、BCR-ABL）的作用机制。（2）构建了基于分子-细胞-动物水平的抗肿瘤药物高效评价体系，发现了9个具有显著抗肿瘤活性的小分子化合物。在</w:t>
      </w:r>
      <w:r>
        <w:rPr>
          <w:rFonts w:hint="eastAsia" w:ascii="宋体" w:hAnsi="宋体" w:cs="宋体"/>
          <w:bCs/>
          <w:i/>
          <w:szCs w:val="21"/>
        </w:rPr>
        <w:t>Eur J Med Chem</w:t>
      </w:r>
      <w:r>
        <w:rPr>
          <w:rFonts w:hint="eastAsia" w:ascii="宋体" w:hAnsi="宋体" w:cs="宋体"/>
          <w:bCs/>
          <w:szCs w:val="21"/>
        </w:rPr>
        <w:t>等国际重要学术期刊发表SCI论文</w:t>
      </w:r>
      <w:r>
        <w:rPr>
          <w:rFonts w:ascii="宋体" w:hAnsi="宋体" w:cs="宋体"/>
          <w:bCs/>
          <w:szCs w:val="21"/>
        </w:rPr>
        <w:t>20</w:t>
      </w:r>
      <w:r>
        <w:rPr>
          <w:rFonts w:hint="eastAsia" w:ascii="宋体" w:hAnsi="宋体" w:cs="宋体"/>
          <w:bCs/>
          <w:szCs w:val="21"/>
        </w:rPr>
        <w:t>余篇。应Springer与Wiley出版社邀请，参编海洋抗肿瘤药物英文专著2章。主持国家级课题3项（国家重点研发计划1项、国家自然基金面上项目2项），国家重点实验室开放基金1项，承担项目立项总经费</w:t>
      </w:r>
      <w:r>
        <w:rPr>
          <w:rFonts w:ascii="宋体" w:hAnsi="宋体" w:cs="宋体"/>
          <w:bCs/>
          <w:szCs w:val="21"/>
        </w:rPr>
        <w:t>20</w:t>
      </w:r>
      <w:r>
        <w:rPr>
          <w:rFonts w:hint="eastAsia" w:ascii="宋体" w:hAnsi="宋体" w:cs="宋体"/>
          <w:bCs/>
          <w:szCs w:val="21"/>
        </w:rPr>
        <w:t>0余万元。</w:t>
      </w:r>
    </w:p>
    <w:p>
      <w:pPr>
        <w:snapToGrid w:val="0"/>
        <w:spacing w:line="400" w:lineRule="exact"/>
        <w:rPr>
          <w:rFonts w:hint="eastAsia" w:ascii="宋体" w:hAnsi="宋体" w:cs="宋体"/>
          <w:bCs/>
          <w:szCs w:val="21"/>
        </w:rPr>
      </w:pPr>
    </w:p>
    <w:p>
      <w:pPr>
        <w:snapToGrid w:val="0"/>
        <w:spacing w:line="400" w:lineRule="exact"/>
        <w:ind w:firstLine="7560" w:firstLineChars="3600"/>
        <w:rPr>
          <w:rFonts w:hint="default" w:ascii="宋体" w:hAnsi="宋体" w:eastAsia="宋体" w:cs="宋体"/>
          <w:bCs/>
          <w:szCs w:val="21"/>
          <w:lang w:val="en-US" w:eastAsia="zh-CN"/>
        </w:rPr>
      </w:pPr>
      <w:r>
        <w:rPr>
          <w:rFonts w:hint="eastAsia" w:ascii="宋体" w:hAnsi="宋体" w:cs="宋体"/>
          <w:bCs/>
          <w:szCs w:val="21"/>
          <w:lang w:val="en-US" w:eastAsia="zh-CN"/>
        </w:rPr>
        <w:t>编辑单位：医药学院</w:t>
      </w:r>
    </w:p>
    <w:sectPr>
      <w:footerReference r:id="rId3" w:type="default"/>
      <w:footerReference r:id="rId4" w:type="even"/>
      <w:pgSz w:w="11906" w:h="16838"/>
      <w:pgMar w:top="1218" w:right="1247" w:bottom="1341"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楷体_GB2312">
    <w:altName w:val="楷体"/>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inheri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15</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14</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063F9B"/>
    <w:multiLevelType w:val="singleLevel"/>
    <w:tmpl w:val="D1063F9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231"/>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3CFA"/>
    <w:rsid w:val="00060D42"/>
    <w:rsid w:val="00172A27"/>
    <w:rsid w:val="001D4E35"/>
    <w:rsid w:val="001F1A27"/>
    <w:rsid w:val="001F2DFC"/>
    <w:rsid w:val="002A0309"/>
    <w:rsid w:val="002C5041"/>
    <w:rsid w:val="003871B6"/>
    <w:rsid w:val="00391209"/>
    <w:rsid w:val="00393484"/>
    <w:rsid w:val="003B43F1"/>
    <w:rsid w:val="004177A9"/>
    <w:rsid w:val="004229DE"/>
    <w:rsid w:val="004277D5"/>
    <w:rsid w:val="00493BA7"/>
    <w:rsid w:val="004E077B"/>
    <w:rsid w:val="00565326"/>
    <w:rsid w:val="005A10CF"/>
    <w:rsid w:val="005D6689"/>
    <w:rsid w:val="005F34A7"/>
    <w:rsid w:val="006B772B"/>
    <w:rsid w:val="00723EFE"/>
    <w:rsid w:val="007418A6"/>
    <w:rsid w:val="007448B4"/>
    <w:rsid w:val="007901F0"/>
    <w:rsid w:val="007C305B"/>
    <w:rsid w:val="00816B02"/>
    <w:rsid w:val="00864E3F"/>
    <w:rsid w:val="00893830"/>
    <w:rsid w:val="008A0FDA"/>
    <w:rsid w:val="008C71D3"/>
    <w:rsid w:val="00907FA4"/>
    <w:rsid w:val="00910CCE"/>
    <w:rsid w:val="00936230"/>
    <w:rsid w:val="009700B9"/>
    <w:rsid w:val="00976C00"/>
    <w:rsid w:val="009A77F7"/>
    <w:rsid w:val="009D059A"/>
    <w:rsid w:val="009D73C2"/>
    <w:rsid w:val="009E4984"/>
    <w:rsid w:val="009F3AF7"/>
    <w:rsid w:val="00A266E0"/>
    <w:rsid w:val="00A36674"/>
    <w:rsid w:val="00A52AFD"/>
    <w:rsid w:val="00AE2D7F"/>
    <w:rsid w:val="00AF5764"/>
    <w:rsid w:val="00B14544"/>
    <w:rsid w:val="00B32BFA"/>
    <w:rsid w:val="00BD6A51"/>
    <w:rsid w:val="00C25918"/>
    <w:rsid w:val="00C54723"/>
    <w:rsid w:val="00CC3E1C"/>
    <w:rsid w:val="00D465FB"/>
    <w:rsid w:val="00D66BB2"/>
    <w:rsid w:val="00D92EC6"/>
    <w:rsid w:val="00DD43DA"/>
    <w:rsid w:val="00ED510D"/>
    <w:rsid w:val="00F44A3A"/>
    <w:rsid w:val="00F51FD8"/>
    <w:rsid w:val="00F620EF"/>
    <w:rsid w:val="00F94072"/>
    <w:rsid w:val="00FF276D"/>
    <w:rsid w:val="01C91FAA"/>
    <w:rsid w:val="030727BE"/>
    <w:rsid w:val="03E67964"/>
    <w:rsid w:val="08A40417"/>
    <w:rsid w:val="0B8875B9"/>
    <w:rsid w:val="0BE420C1"/>
    <w:rsid w:val="0CC75703"/>
    <w:rsid w:val="0F36756D"/>
    <w:rsid w:val="110D4A61"/>
    <w:rsid w:val="128F7902"/>
    <w:rsid w:val="14B72A4E"/>
    <w:rsid w:val="17FA063F"/>
    <w:rsid w:val="21E12434"/>
    <w:rsid w:val="22AE2A0D"/>
    <w:rsid w:val="24980A1C"/>
    <w:rsid w:val="26F83974"/>
    <w:rsid w:val="2A97033C"/>
    <w:rsid w:val="2AB73237"/>
    <w:rsid w:val="2BAB0C35"/>
    <w:rsid w:val="2BB515E6"/>
    <w:rsid w:val="2F467994"/>
    <w:rsid w:val="32286E7B"/>
    <w:rsid w:val="34EA0E7E"/>
    <w:rsid w:val="351A1EF8"/>
    <w:rsid w:val="369E0521"/>
    <w:rsid w:val="3763306D"/>
    <w:rsid w:val="38E74F26"/>
    <w:rsid w:val="39976DB5"/>
    <w:rsid w:val="39D2453F"/>
    <w:rsid w:val="3B0E73DD"/>
    <w:rsid w:val="3CF938E9"/>
    <w:rsid w:val="4A690C3E"/>
    <w:rsid w:val="4B200F39"/>
    <w:rsid w:val="4BED01C7"/>
    <w:rsid w:val="51F20017"/>
    <w:rsid w:val="56E20C4C"/>
    <w:rsid w:val="57A77DD7"/>
    <w:rsid w:val="5DE55100"/>
    <w:rsid w:val="5F8528FC"/>
    <w:rsid w:val="63B70D4D"/>
    <w:rsid w:val="660F3DE7"/>
    <w:rsid w:val="687036B9"/>
    <w:rsid w:val="6B042299"/>
    <w:rsid w:val="71777AC2"/>
    <w:rsid w:val="74416D71"/>
    <w:rsid w:val="76553536"/>
    <w:rsid w:val="7729793C"/>
    <w:rsid w:val="7AF5787E"/>
    <w:rsid w:val="7B1D7320"/>
    <w:rsid w:val="7F7D6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340" w:after="330" w:line="576" w:lineRule="auto"/>
      <w:jc w:val="left"/>
      <w:textAlignment w:val="baseline"/>
      <w:outlineLvl w:val="0"/>
    </w:pPr>
    <w:rPr>
      <w:rFonts w:ascii="宋体"/>
      <w:b/>
      <w:bCs/>
      <w:kern w:val="44"/>
      <w:sz w:val="44"/>
      <w:szCs w:val="44"/>
    </w:rPr>
  </w:style>
  <w:style w:type="character" w:default="1" w:styleId="14">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qFormat/>
    <w:uiPriority w:val="0"/>
    <w:pPr>
      <w:jc w:val="left"/>
    </w:pPr>
  </w:style>
  <w:style w:type="paragraph" w:styleId="4">
    <w:name w:val="Body Text Indent"/>
    <w:basedOn w:val="1"/>
    <w:qFormat/>
    <w:uiPriority w:val="0"/>
    <w:pPr>
      <w:ind w:firstLine="435" w:firstLineChars="207"/>
    </w:pPr>
  </w:style>
  <w:style w:type="paragraph" w:styleId="5">
    <w:name w:val="Plain Text"/>
    <w:basedOn w:val="1"/>
    <w:qFormat/>
    <w:uiPriority w:val="0"/>
    <w:rPr>
      <w:rFonts w:ascii="宋体" w:hAnsi="Courier New"/>
      <w:szCs w:val="21"/>
    </w:rPr>
  </w:style>
  <w:style w:type="paragraph" w:styleId="6">
    <w:name w:val="Date"/>
    <w:basedOn w:val="1"/>
    <w:next w:val="1"/>
    <w:qFormat/>
    <w:uiPriority w:val="0"/>
    <w:pPr>
      <w:ind w:left="2500" w:leftChars="2500"/>
    </w:pPr>
    <w:rPr>
      <w:rFonts w:hint="eastAsia" w:ascii="宋体" w:hAnsi="宋体" w:cs="Arial Unicode MS"/>
      <w:kern w:val="0"/>
      <w:sz w:val="24"/>
    </w:rPr>
  </w:style>
  <w:style w:type="paragraph" w:styleId="7">
    <w:name w:val="Body Text Indent 2"/>
    <w:basedOn w:val="1"/>
    <w:qFormat/>
    <w:uiPriority w:val="0"/>
    <w:pPr>
      <w:spacing w:after="120" w:line="480" w:lineRule="auto"/>
      <w:ind w:left="420" w:leftChars="200"/>
    </w:pPr>
    <w:rPr>
      <w:rFonts w:eastAsia="楷体_GB2312"/>
      <w:sz w:val="28"/>
      <w:szCs w:val="28"/>
    </w:rPr>
  </w:style>
  <w:style w:type="paragraph" w:styleId="8">
    <w:name w:val="Balloon Text"/>
    <w:basedOn w:val="1"/>
    <w:qFormat/>
    <w:uiPriority w:val="0"/>
    <w:rPr>
      <w:sz w:val="18"/>
      <w:szCs w:val="18"/>
    </w:rPr>
  </w:style>
  <w:style w:type="paragraph" w:styleId="9">
    <w:name w:val="footer"/>
    <w:basedOn w:val="1"/>
    <w:link w:val="21"/>
    <w:qFormat/>
    <w:uiPriority w:val="0"/>
    <w:pPr>
      <w:tabs>
        <w:tab w:val="center" w:pos="4153"/>
        <w:tab w:val="right" w:pos="8306"/>
      </w:tabs>
      <w:snapToGrid w:val="0"/>
      <w:jc w:val="left"/>
    </w:pPr>
    <w:rPr>
      <w:sz w:val="18"/>
      <w:szCs w:val="18"/>
    </w:rPr>
  </w:style>
  <w:style w:type="paragraph" w:styleId="10">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2">
    <w:name w:val="annotation subject"/>
    <w:basedOn w:val="3"/>
    <w:next w:val="3"/>
    <w:link w:val="18"/>
    <w:qFormat/>
    <w:uiPriority w:val="0"/>
    <w:rPr>
      <w:b/>
      <w:bCs/>
    </w:rPr>
  </w:style>
  <w:style w:type="character" w:styleId="15">
    <w:name w:val="page number"/>
    <w:basedOn w:val="14"/>
    <w:qFormat/>
    <w:uiPriority w:val="0"/>
  </w:style>
  <w:style w:type="character" w:styleId="16">
    <w:name w:val="Hyperlink"/>
    <w:basedOn w:val="14"/>
    <w:qFormat/>
    <w:uiPriority w:val="0"/>
    <w:rPr>
      <w:color w:val="0000FF"/>
      <w:u w:val="single"/>
    </w:rPr>
  </w:style>
  <w:style w:type="character" w:styleId="17">
    <w:name w:val="annotation reference"/>
    <w:qFormat/>
    <w:uiPriority w:val="0"/>
    <w:rPr>
      <w:sz w:val="21"/>
      <w:szCs w:val="21"/>
    </w:rPr>
  </w:style>
  <w:style w:type="character" w:customStyle="1" w:styleId="18">
    <w:name w:val="批注主题 字符"/>
    <w:link w:val="12"/>
    <w:qFormat/>
    <w:uiPriority w:val="0"/>
    <w:rPr>
      <w:b/>
      <w:bCs/>
      <w:kern w:val="2"/>
      <w:sz w:val="21"/>
      <w:szCs w:val="24"/>
    </w:rPr>
  </w:style>
  <w:style w:type="character" w:customStyle="1" w:styleId="19">
    <w:name w:val="article_title1"/>
    <w:qFormat/>
    <w:uiPriority w:val="0"/>
    <w:rPr>
      <w:rFonts w:hint="default" w:ascii="ˎ̥" w:hAnsi="ˎ̥"/>
      <w:b/>
      <w:bCs/>
      <w:color w:val="003399"/>
      <w:sz w:val="30"/>
      <w:szCs w:val="30"/>
    </w:rPr>
  </w:style>
  <w:style w:type="character" w:customStyle="1" w:styleId="20">
    <w:name w:val="页眉 字符"/>
    <w:link w:val="10"/>
    <w:qFormat/>
    <w:uiPriority w:val="0"/>
    <w:rPr>
      <w:kern w:val="2"/>
      <w:sz w:val="18"/>
      <w:szCs w:val="18"/>
    </w:rPr>
  </w:style>
  <w:style w:type="character" w:customStyle="1" w:styleId="21">
    <w:name w:val="页脚 字符"/>
    <w:link w:val="9"/>
    <w:qFormat/>
    <w:uiPriority w:val="0"/>
    <w:rPr>
      <w:kern w:val="2"/>
      <w:sz w:val="18"/>
      <w:szCs w:val="18"/>
    </w:rPr>
  </w:style>
  <w:style w:type="character" w:customStyle="1" w:styleId="22">
    <w:name w:val="批注文字 字符"/>
    <w:link w:val="3"/>
    <w:qFormat/>
    <w:uiPriority w:val="0"/>
    <w:rPr>
      <w:kern w:val="2"/>
      <w:sz w:val="21"/>
      <w:szCs w:val="24"/>
    </w:rPr>
  </w:style>
  <w:style w:type="paragraph" w:customStyle="1" w:styleId="23">
    <w:name w:val="修订1"/>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ouc</Company>
  <Pages>15</Pages>
  <Words>2601</Words>
  <Characters>14832</Characters>
  <Lines>123</Lines>
  <Paragraphs>34</Paragraphs>
  <TotalTime>5</TotalTime>
  <ScaleCrop>false</ScaleCrop>
  <LinksUpToDate>false</LinksUpToDate>
  <CharactersWithSpaces>17399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2020-10-19T06:27:00Z</dcterms:created>
  <dc:creator>wangweidong</dc:creator>
  <cp:lastModifiedBy>小巍哥哥</cp:lastModifiedBy>
  <cp:lastPrinted>2020-10-15T07:15:00Z</cp:lastPrinted>
  <dcterms:modified xsi:type="dcterms:W3CDTF">2020-11-23T11:05:09Z</dcterms:modified>
  <dc:title>关于做好编制2007年研究生招生专业目录的通知</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