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rPr>
        <w:t>9年中国海洋大学化学化工学院博士研究生“申请</w:t>
      </w:r>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考核”制招生工作实施细则</w:t>
      </w:r>
    </w:p>
    <w:p>
      <w:pPr>
        <w:ind w:firstLine="643" w:firstLineChars="200"/>
        <w:rPr>
          <w:rFonts w:ascii="仿宋" w:hAnsi="仿宋" w:eastAsia="仿宋" w:cs="黑体"/>
          <w:sz w:val="32"/>
          <w:szCs w:val="32"/>
        </w:rPr>
      </w:pPr>
      <w:r>
        <w:rPr>
          <w:rFonts w:hint="eastAsia" w:ascii="仿宋" w:hAnsi="仿宋" w:eastAsia="仿宋" w:cs="仿宋_GB2312"/>
          <w:b/>
          <w:sz w:val="32"/>
          <w:szCs w:val="32"/>
        </w:rPr>
        <w:t>一、组织管理</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（一）学院成立由院长任组长，相关党政负责人、纪检委员、研究生秘书等为成员的研究生招生工作小组，组织制定本单位博士</w:t>
      </w:r>
      <w:r>
        <w:rPr>
          <w:rFonts w:hint="eastAsia" w:ascii="仿宋" w:hAnsi="仿宋" w:eastAsia="仿宋" w:cs="仿宋_GB2312"/>
          <w:sz w:val="32"/>
          <w:szCs w:val="32"/>
          <w:lang w:eastAsia="zh-CN"/>
        </w:rPr>
        <w:t>研究</w:t>
      </w:r>
      <w:r>
        <w:rPr>
          <w:rFonts w:hint="eastAsia" w:ascii="仿宋" w:hAnsi="仿宋" w:eastAsia="仿宋" w:cs="仿宋_GB2312"/>
          <w:sz w:val="32"/>
          <w:szCs w:val="32"/>
        </w:rPr>
        <w:t>生</w:t>
      </w:r>
      <w:r>
        <w:rPr>
          <w:rFonts w:hint="eastAsia" w:ascii="仿宋" w:hAnsi="仿宋" w:eastAsia="仿宋" w:cs="仿宋_GB2312"/>
          <w:sz w:val="32"/>
          <w:szCs w:val="32"/>
          <w:lang w:eastAsia="zh-CN"/>
        </w:rPr>
        <w:t>（以下简称“博士生”）</w:t>
      </w:r>
      <w:r>
        <w:rPr>
          <w:rFonts w:hint="eastAsia" w:ascii="仿宋" w:hAnsi="仿宋" w:eastAsia="仿宋" w:cs="仿宋_GB2312"/>
          <w:sz w:val="32"/>
          <w:szCs w:val="32"/>
        </w:rPr>
        <w:t>“申请-考核”制招生工作实施细则（以下简称“实施细则”），负责本单位的申请、考核、录取和监督等工作</w:t>
      </w:r>
      <w:r>
        <w:rPr>
          <w:rFonts w:ascii="仿宋" w:hAnsi="仿宋" w:eastAsia="仿宋" w:cs="仿宋_GB2312"/>
          <w:sz w:val="32"/>
          <w:szCs w:val="32"/>
        </w:rPr>
        <w:t>。</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（二）学院按</w:t>
      </w:r>
      <w:r>
        <w:rPr>
          <w:rFonts w:ascii="仿宋" w:hAnsi="仿宋" w:eastAsia="仿宋" w:cs="仿宋_GB2312"/>
          <w:sz w:val="32"/>
          <w:szCs w:val="32"/>
        </w:rPr>
        <w:t>二级学科成立</w:t>
      </w:r>
      <w:r>
        <w:rPr>
          <w:rFonts w:hint="eastAsia" w:ascii="仿宋" w:hAnsi="仿宋" w:eastAsia="仿宋" w:cs="仿宋_GB2312"/>
          <w:sz w:val="32"/>
          <w:szCs w:val="32"/>
        </w:rPr>
        <w:t>材料审核</w:t>
      </w:r>
      <w:r>
        <w:rPr>
          <w:rFonts w:ascii="仿宋" w:hAnsi="仿宋" w:eastAsia="仿宋" w:cs="仿宋_GB2312"/>
          <w:sz w:val="32"/>
          <w:szCs w:val="32"/>
        </w:rPr>
        <w:t>专家组</w:t>
      </w:r>
      <w:r>
        <w:rPr>
          <w:rFonts w:hint="eastAsia" w:ascii="仿宋" w:hAnsi="仿宋" w:eastAsia="仿宋" w:cs="仿宋_GB2312"/>
          <w:sz w:val="32"/>
          <w:szCs w:val="32"/>
        </w:rPr>
        <w:t>和面试专家组，在学院研究生招生工作小组指导下具体实施材料审核和面试等工作。</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二、招生专业及招生计划</w:t>
      </w:r>
    </w:p>
    <w:tbl>
      <w:tblPr>
        <w:tblStyle w:val="13"/>
        <w:tblW w:w="9743" w:type="dxa"/>
        <w:jc w:val="center"/>
        <w:tblInd w:w="-679" w:type="dxa"/>
        <w:tblLayout w:type="fixed"/>
        <w:tblCellMar>
          <w:top w:w="0" w:type="dxa"/>
          <w:left w:w="108" w:type="dxa"/>
          <w:bottom w:w="0" w:type="dxa"/>
          <w:right w:w="108" w:type="dxa"/>
        </w:tblCellMar>
      </w:tblPr>
      <w:tblGrid>
        <w:gridCol w:w="2231"/>
        <w:gridCol w:w="1587"/>
        <w:gridCol w:w="1850"/>
        <w:gridCol w:w="1900"/>
        <w:gridCol w:w="2175"/>
      </w:tblGrid>
      <w:tr>
        <w:tblPrEx>
          <w:tblLayout w:type="fixed"/>
          <w:tblCellMar>
            <w:top w:w="0" w:type="dxa"/>
            <w:left w:w="108" w:type="dxa"/>
            <w:bottom w:w="0" w:type="dxa"/>
            <w:right w:w="108" w:type="dxa"/>
          </w:tblCellMar>
        </w:tblPrEx>
        <w:trPr>
          <w:trHeight w:val="582" w:hRule="atLeast"/>
          <w:jc w:val="center"/>
        </w:trPr>
        <w:tc>
          <w:tcPr>
            <w:tcW w:w="223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一级学科名称</w:t>
            </w:r>
          </w:p>
        </w:tc>
        <w:tc>
          <w:tcPr>
            <w:tcW w:w="158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专业代码</w:t>
            </w:r>
          </w:p>
        </w:tc>
        <w:tc>
          <w:tcPr>
            <w:tcW w:w="1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专业名称</w:t>
            </w:r>
          </w:p>
        </w:tc>
        <w:tc>
          <w:tcPr>
            <w:tcW w:w="1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全日制</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拟招生人数（含硕</w:t>
            </w:r>
            <w:bookmarkStart w:id="1" w:name="_GoBack"/>
            <w:bookmarkEnd w:id="1"/>
            <w:r>
              <w:rPr>
                <w:rFonts w:hint="eastAsia" w:ascii="仿宋_GB2312" w:hAnsi="仿宋_GB2312" w:eastAsia="仿宋_GB2312" w:cs="仿宋_GB2312"/>
                <w:sz w:val="32"/>
                <w:szCs w:val="32"/>
              </w:rPr>
              <w:t>博连读研究生）</w:t>
            </w:r>
          </w:p>
        </w:tc>
        <w:tc>
          <w:tcPr>
            <w:tcW w:w="21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非全日制</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拟招生人数</w:t>
            </w:r>
          </w:p>
        </w:tc>
      </w:tr>
      <w:tr>
        <w:tblPrEx>
          <w:tblLayout w:type="fixed"/>
          <w:tblCellMar>
            <w:top w:w="0" w:type="dxa"/>
            <w:left w:w="108" w:type="dxa"/>
            <w:bottom w:w="0" w:type="dxa"/>
            <w:right w:w="108" w:type="dxa"/>
          </w:tblCellMar>
        </w:tblPrEx>
        <w:trPr>
          <w:trHeight w:val="369" w:hRule="atLeast"/>
          <w:jc w:val="center"/>
        </w:trPr>
        <w:tc>
          <w:tcPr>
            <w:tcW w:w="2231" w:type="dxa"/>
            <w:vMerge w:val="restart"/>
            <w:tcBorders>
              <w:top w:val="single" w:color="auto" w:sz="6" w:space="0"/>
              <w:left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0707海洋科学</w:t>
            </w:r>
          </w:p>
        </w:tc>
        <w:tc>
          <w:tcPr>
            <w:tcW w:w="158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070702</w:t>
            </w:r>
          </w:p>
        </w:tc>
        <w:tc>
          <w:tcPr>
            <w:tcW w:w="1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海洋化学</w:t>
            </w:r>
          </w:p>
        </w:tc>
        <w:tc>
          <w:tcPr>
            <w:tcW w:w="1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p>
        </w:tc>
        <w:tc>
          <w:tcPr>
            <w:tcW w:w="21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r>
      <w:tr>
        <w:tblPrEx>
          <w:tblLayout w:type="fixed"/>
          <w:tblCellMar>
            <w:top w:w="0" w:type="dxa"/>
            <w:left w:w="108" w:type="dxa"/>
            <w:bottom w:w="0" w:type="dxa"/>
            <w:right w:w="108" w:type="dxa"/>
          </w:tblCellMar>
        </w:tblPrEx>
        <w:trPr>
          <w:trHeight w:val="293" w:hRule="atLeast"/>
          <w:jc w:val="center"/>
        </w:trPr>
        <w:tc>
          <w:tcPr>
            <w:tcW w:w="2231" w:type="dxa"/>
            <w:vMerge w:val="continue"/>
            <w:tcBorders>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Times New Roman"/>
                <w:sz w:val="32"/>
                <w:szCs w:val="32"/>
              </w:rPr>
            </w:pPr>
          </w:p>
        </w:tc>
        <w:tc>
          <w:tcPr>
            <w:tcW w:w="158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0707</w:t>
            </w:r>
            <w:r>
              <w:rPr>
                <w:rFonts w:ascii="仿宋_GB2312" w:hAnsi="仿宋_GB2312" w:eastAsia="仿宋_GB2312" w:cs="仿宋_GB2312"/>
                <w:sz w:val="32"/>
                <w:szCs w:val="32"/>
              </w:rPr>
              <w:t>Z</w:t>
            </w:r>
            <w:r>
              <w:rPr>
                <w:rFonts w:hint="eastAsia" w:ascii="仿宋_GB2312" w:hAnsi="仿宋_GB2312" w:eastAsia="仿宋_GB2312" w:cs="仿宋_GB2312"/>
                <w:sz w:val="32"/>
                <w:szCs w:val="32"/>
              </w:rPr>
              <w:t>6</w:t>
            </w:r>
          </w:p>
        </w:tc>
        <w:tc>
          <w:tcPr>
            <w:tcW w:w="185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Times New Roman"/>
                <w:sz w:val="32"/>
                <w:szCs w:val="32"/>
              </w:rPr>
            </w:pPr>
            <w:r>
              <w:rPr>
                <w:rFonts w:hint="eastAsia" w:ascii="仿宋_GB2312" w:hAnsi="仿宋_GB2312" w:eastAsia="仿宋_GB2312" w:cs="Times New Roman"/>
                <w:sz w:val="32"/>
                <w:szCs w:val="32"/>
              </w:rPr>
              <w:t>海洋化学工程与技术</w:t>
            </w:r>
          </w:p>
        </w:tc>
        <w:tc>
          <w:tcPr>
            <w:tcW w:w="190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21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ind w:firstLine="640" w:firstLineChars="200"/>
        <w:jc w:val="left"/>
        <w:rPr>
          <w:rFonts w:ascii="仿宋" w:hAnsi="仿宋" w:eastAsia="仿宋" w:cs="仿宋_GB2312"/>
          <w:sz w:val="32"/>
          <w:szCs w:val="32"/>
        </w:rPr>
      </w:pP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三、申请基本条件</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申请人须符合下列基本条件：</w:t>
      </w:r>
    </w:p>
    <w:p>
      <w:pPr>
        <w:ind w:firstLine="320" w:firstLineChars="100"/>
        <w:rPr>
          <w:rFonts w:ascii="仿宋" w:hAnsi="仿宋" w:eastAsia="仿宋" w:cs="仿宋_GB2312"/>
          <w:sz w:val="32"/>
          <w:szCs w:val="32"/>
        </w:rPr>
      </w:pPr>
      <w:r>
        <w:rPr>
          <w:rFonts w:hint="eastAsia" w:ascii="仿宋" w:hAnsi="仿宋" w:eastAsia="仿宋" w:cs="仿宋_GB2312"/>
          <w:sz w:val="32"/>
          <w:szCs w:val="32"/>
        </w:rPr>
        <w:t>（一）符合学校当年博士生招生简章中规定的报考条件。</w:t>
      </w:r>
    </w:p>
    <w:p>
      <w:pPr>
        <w:ind w:firstLine="320" w:firstLineChars="100"/>
        <w:rPr>
          <w:rFonts w:ascii="仿宋" w:hAnsi="仿宋" w:eastAsia="仿宋" w:cs="仿宋_GB2312"/>
          <w:sz w:val="32"/>
          <w:szCs w:val="32"/>
        </w:rPr>
      </w:pPr>
      <w:r>
        <w:rPr>
          <w:rFonts w:hint="eastAsia" w:ascii="仿宋" w:hAnsi="仿宋" w:eastAsia="仿宋" w:cs="仿宋_GB2312"/>
          <w:sz w:val="32"/>
          <w:szCs w:val="32"/>
        </w:rPr>
        <w:t>（二）具有较强的外国语交流能力，参加过如下之一外语水平考试且符合以下要求（成绩有效期五年，截止入学当年的9月1日。本科至硕士连续在读的应届生，在读期间的国家大学外国语六级考试成绩不受时间限制）：</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1.国家大学外国语六级考试成绩426分及以上。</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2.托福（TOEFL）成绩72分及以上。</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3.雅思（IELTS）成绩5.5分及以上。</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4.取得WSK（PETS5）考试合格证书。</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5.专业英语八级考试成绩60分及以上。</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未达到上述外语要求的申请人，须参加学校组织的博士生招生外国语考试且成绩达到学校要求。</w:t>
      </w:r>
    </w:p>
    <w:p>
      <w:pPr>
        <w:ind w:firstLine="640" w:firstLineChars="20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三)</w:t>
      </w:r>
      <w:r>
        <w:rPr>
          <w:rFonts w:hint="eastAsia" w:ascii="仿宋_GB2312" w:hAnsi="仿宋_GB2312" w:eastAsia="仿宋_GB2312" w:cs="仿宋_GB2312"/>
          <w:sz w:val="32"/>
          <w:szCs w:val="32"/>
        </w:rPr>
        <w:t xml:space="preserve"> </w:t>
      </w:r>
      <w:r>
        <w:rPr>
          <w:rFonts w:ascii="仿宋" w:hAnsi="仿宋" w:eastAsia="仿宋" w:cs="仿宋_GB2312"/>
          <w:sz w:val="32"/>
          <w:szCs w:val="32"/>
        </w:rPr>
        <w:t>硕士</w:t>
      </w:r>
      <w:r>
        <w:rPr>
          <w:rFonts w:hint="eastAsia" w:ascii="仿宋" w:hAnsi="仿宋" w:eastAsia="仿宋" w:cs="仿宋_GB2312"/>
          <w:sz w:val="32"/>
          <w:szCs w:val="32"/>
        </w:rPr>
        <w:t>在读期间成绩优良；</w:t>
      </w:r>
      <w:r>
        <w:rPr>
          <w:rFonts w:ascii="仿宋" w:hAnsi="仿宋" w:eastAsia="仿宋" w:cs="仿宋_GB2312"/>
          <w:sz w:val="32"/>
          <w:szCs w:val="32"/>
        </w:rPr>
        <w:t>对学术研究有浓厚的兴趣，</w:t>
      </w:r>
      <w:r>
        <w:rPr>
          <w:rFonts w:hint="eastAsia" w:ascii="仿宋" w:hAnsi="仿宋" w:eastAsia="仿宋" w:cs="仿宋_GB2312"/>
          <w:sz w:val="32"/>
          <w:szCs w:val="32"/>
        </w:rPr>
        <w:t>并具有突出的科研能力，有较强的创新意识、创新能力和专业能力。</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（四）诚实守信，学风端正，无任何考试作弊、剽窃他人学术成果及其它违法违纪受处分记录。</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四、工作程序及要求</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（一）本人申请</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申请人须在规定时间内，按照学校和学院相关要求完成网上报名，并提交以下申请材料：</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1.博士生报考登记表和思想政治考核表。</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2.由2名所报学科专业领域内的教授（或相当专业技术职务的专家）签名并密封的推荐书。</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ascii="u5b8bu4f53" w:hAnsi="u5b8bu4f53"/>
          <w:color w:val="333333"/>
          <w:sz w:val="30"/>
          <w:szCs w:val="30"/>
          <w:shd w:val="clear" w:color="auto" w:fill="FFFFFF"/>
        </w:rPr>
        <w:t xml:space="preserve"> </w:t>
      </w:r>
      <w:r>
        <w:rPr>
          <w:rFonts w:hint="eastAsia" w:ascii="仿宋" w:hAnsi="仿宋" w:eastAsia="仿宋" w:cs="仿宋_GB2312"/>
          <w:sz w:val="32"/>
          <w:szCs w:val="32"/>
        </w:rPr>
        <w:t>本科、硕士学位证书、毕业证书、教育部学历</w:t>
      </w:r>
      <w:r>
        <w:rPr>
          <w:rFonts w:hint="eastAsia" w:ascii="仿宋" w:hAnsi="仿宋" w:eastAsia="仿宋" w:cs="仿宋_GB2312"/>
          <w:sz w:val="32"/>
          <w:szCs w:val="32"/>
          <w:lang w:eastAsia="zh-CN"/>
        </w:rPr>
        <w:t>证书</w:t>
      </w:r>
      <w:r>
        <w:rPr>
          <w:rFonts w:hint="eastAsia" w:ascii="仿宋" w:hAnsi="仿宋" w:eastAsia="仿宋" w:cs="仿宋_GB2312"/>
          <w:sz w:val="32"/>
          <w:szCs w:val="32"/>
        </w:rPr>
        <w:t>电子注册备案表（应届硕士报名时须提交预计毕业证明，教育部学籍在线验证报告，并于入学时须提交硕士学位证书、毕业证书及教育部学历</w:t>
      </w:r>
      <w:r>
        <w:rPr>
          <w:rFonts w:hint="eastAsia" w:ascii="仿宋" w:hAnsi="仿宋" w:eastAsia="仿宋" w:cs="仿宋_GB2312"/>
          <w:sz w:val="32"/>
          <w:szCs w:val="32"/>
          <w:lang w:eastAsia="zh-CN"/>
        </w:rPr>
        <w:t>证书</w:t>
      </w:r>
      <w:r>
        <w:rPr>
          <w:rFonts w:hint="eastAsia" w:ascii="仿宋" w:hAnsi="仿宋" w:eastAsia="仿宋" w:cs="仿宋_GB2312"/>
          <w:sz w:val="32"/>
          <w:szCs w:val="32"/>
        </w:rPr>
        <w:t>电子注册备案表等；获国外学位者提交教育部留学服务中心的学位学历认证报告）。</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4.有效身份证复印件。</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5.本科和硕士期间课程成绩单原件，外语水平考试成绩证明复印件。</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6.已发表的学术论文、获奖证书复印件，以及其他可以证明申请人创新能力或学术水平的材料。</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7.</w:t>
      </w:r>
      <w:r>
        <w:rPr>
          <w:rFonts w:ascii="仿宋" w:hAnsi="仿宋" w:eastAsia="仿宋" w:cs="仿宋_GB2312"/>
          <w:sz w:val="32"/>
          <w:szCs w:val="32"/>
        </w:rPr>
        <w:t>硕士学位论文（含评议书</w:t>
      </w:r>
      <w:r>
        <w:rPr>
          <w:rFonts w:hint="eastAsia" w:ascii="仿宋" w:hAnsi="仿宋" w:eastAsia="仿宋" w:cs="仿宋_GB2312"/>
          <w:sz w:val="32"/>
          <w:szCs w:val="32"/>
        </w:rPr>
        <w:t>；</w:t>
      </w:r>
      <w:r>
        <w:rPr>
          <w:rFonts w:ascii="仿宋" w:hAnsi="仿宋" w:eastAsia="仿宋" w:cs="仿宋_GB2312"/>
          <w:sz w:val="32"/>
          <w:szCs w:val="32"/>
        </w:rPr>
        <w:t>应届硕士毕业生硕士论文开题报告</w:t>
      </w:r>
      <w:r>
        <w:rPr>
          <w:rFonts w:hint="eastAsia" w:ascii="仿宋" w:hAnsi="仿宋" w:eastAsia="仿宋" w:cs="仿宋_GB2312"/>
          <w:sz w:val="32"/>
          <w:szCs w:val="32"/>
        </w:rPr>
        <w:t>和硕士论文的详细摘要及目录</w:t>
      </w:r>
      <w:r>
        <w:rPr>
          <w:rFonts w:ascii="仿宋" w:hAnsi="仿宋" w:eastAsia="仿宋" w:cs="仿宋_GB2312"/>
          <w:sz w:val="32"/>
          <w:szCs w:val="32"/>
        </w:rPr>
        <w:t>）</w:t>
      </w:r>
      <w:r>
        <w:rPr>
          <w:rFonts w:hint="eastAsia" w:ascii="仿宋" w:hAnsi="仿宋" w:eastAsia="仿宋" w:cs="仿宋_GB2312"/>
          <w:sz w:val="32"/>
          <w:szCs w:val="32"/>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8.个人陈述书（3000字左右）。内容包括本人思想政治表现、学习及学术研究经历、原创性研究成果、攻读博士生期间的研究方向和科研计划等。</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（二）材料审核</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1.资格审核。学院对考生报考资格进行审核，对于不符合</w:t>
      </w:r>
      <w:r>
        <w:rPr>
          <w:rFonts w:ascii="仿宋" w:hAnsi="仿宋" w:eastAsia="仿宋" w:cs="仿宋_GB2312"/>
          <w:sz w:val="32"/>
          <w:szCs w:val="32"/>
        </w:rPr>
        <w:t>申请条件者</w:t>
      </w:r>
      <w:r>
        <w:rPr>
          <w:rFonts w:hint="eastAsia" w:ascii="仿宋" w:hAnsi="仿宋" w:eastAsia="仿宋" w:cs="仿宋_GB2312"/>
          <w:sz w:val="32"/>
          <w:szCs w:val="32"/>
        </w:rPr>
        <w:t>应</w:t>
      </w:r>
      <w:r>
        <w:rPr>
          <w:rFonts w:ascii="仿宋" w:hAnsi="仿宋" w:eastAsia="仿宋" w:cs="仿宋_GB2312"/>
          <w:sz w:val="32"/>
          <w:szCs w:val="32"/>
        </w:rPr>
        <w:t>终止</w:t>
      </w:r>
      <w:r>
        <w:rPr>
          <w:rFonts w:hint="eastAsia" w:ascii="仿宋" w:hAnsi="仿宋" w:eastAsia="仿宋" w:cs="仿宋_GB2312"/>
          <w:sz w:val="32"/>
          <w:szCs w:val="32"/>
        </w:rPr>
        <w:t>其</w:t>
      </w:r>
      <w:r>
        <w:rPr>
          <w:rFonts w:ascii="仿宋" w:hAnsi="仿宋" w:eastAsia="仿宋" w:cs="仿宋_GB2312"/>
          <w:sz w:val="32"/>
          <w:szCs w:val="32"/>
        </w:rPr>
        <w:t>申请程序。</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2.报考导师评价。学院将通过审核的申请人材料提交至报考导师，导师对申请人给出书面评价意见。</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3.专家组审核。学院按二级学科成立专家组，成员由不少于5人的本学科博士生导师组成,其中学术分委员会成员不少于专家总人数的3/5。“申请</w:t>
      </w:r>
      <w:r>
        <w:rPr>
          <w:rFonts w:ascii="仿宋" w:hAnsi="仿宋" w:eastAsia="仿宋" w:cs="仿宋_GB2312"/>
          <w:sz w:val="32"/>
          <w:szCs w:val="32"/>
        </w:rPr>
        <w:t>-考核”制申请人和硕博连读申请人</w:t>
      </w:r>
      <w:r>
        <w:rPr>
          <w:rFonts w:hint="eastAsia" w:ascii="仿宋" w:hAnsi="仿宋" w:eastAsia="仿宋" w:cs="仿宋_GB2312"/>
          <w:sz w:val="32"/>
          <w:szCs w:val="32"/>
        </w:rPr>
        <w:t>的申请材料同时审核，专家组综合报考导师评价意见、专家组成员对</w:t>
      </w:r>
      <w:r>
        <w:rPr>
          <w:rFonts w:ascii="仿宋" w:hAnsi="仿宋" w:eastAsia="仿宋" w:cs="仿宋_GB2312"/>
          <w:sz w:val="32"/>
          <w:szCs w:val="32"/>
        </w:rPr>
        <w:t>申请</w:t>
      </w:r>
      <w:r>
        <w:rPr>
          <w:rFonts w:hint="eastAsia" w:ascii="仿宋" w:hAnsi="仿宋" w:eastAsia="仿宋" w:cs="仿宋_GB2312"/>
          <w:sz w:val="32"/>
          <w:szCs w:val="32"/>
        </w:rPr>
        <w:t>人</w:t>
      </w:r>
      <w:r>
        <w:rPr>
          <w:rFonts w:ascii="仿宋" w:hAnsi="仿宋" w:eastAsia="仿宋" w:cs="仿宋_GB2312"/>
          <w:sz w:val="32"/>
          <w:szCs w:val="32"/>
        </w:rPr>
        <w:t>材</w:t>
      </w:r>
      <w:r>
        <w:rPr>
          <w:rFonts w:hint="eastAsia" w:ascii="仿宋" w:hAnsi="仿宋" w:eastAsia="仿宋" w:cs="仿宋_GB2312"/>
          <w:sz w:val="32"/>
          <w:szCs w:val="32"/>
        </w:rPr>
        <w:t>料评价及评分，</w:t>
      </w:r>
      <w:r>
        <w:rPr>
          <w:rFonts w:ascii="仿宋" w:hAnsi="仿宋" w:eastAsia="仿宋" w:cs="仿宋_GB2312"/>
          <w:sz w:val="32"/>
          <w:szCs w:val="32"/>
        </w:rPr>
        <w:t>按</w:t>
      </w:r>
      <w:r>
        <w:rPr>
          <w:rFonts w:hint="eastAsia" w:ascii="仿宋" w:hAnsi="仿宋" w:eastAsia="仿宋" w:cs="仿宋_GB2312"/>
          <w:sz w:val="32"/>
          <w:szCs w:val="32"/>
        </w:rPr>
        <w:t>不超过拟录取人数1.5倍的比例初步确定进</w:t>
      </w:r>
      <w:r>
        <w:rPr>
          <w:rFonts w:ascii="仿宋" w:hAnsi="仿宋" w:eastAsia="仿宋" w:cs="仿宋_GB2312"/>
          <w:sz w:val="32"/>
          <w:szCs w:val="32"/>
        </w:rPr>
        <w:t>入</w:t>
      </w:r>
      <w:r>
        <w:rPr>
          <w:rFonts w:hint="eastAsia" w:ascii="仿宋" w:hAnsi="仿宋" w:eastAsia="仿宋" w:cs="仿宋_GB2312"/>
          <w:sz w:val="32"/>
          <w:szCs w:val="32"/>
        </w:rPr>
        <w:t>综合考核的申请人名单。</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4.</w:t>
      </w:r>
      <w:r>
        <w:rPr>
          <w:rFonts w:ascii="仿宋" w:hAnsi="仿宋" w:eastAsia="仿宋" w:cs="仿宋_GB2312"/>
          <w:sz w:val="32"/>
          <w:szCs w:val="32"/>
        </w:rPr>
        <w:t>学院</w:t>
      </w:r>
      <w:r>
        <w:rPr>
          <w:rFonts w:hint="eastAsia" w:ascii="仿宋" w:hAnsi="仿宋" w:eastAsia="仿宋" w:cs="仿宋_GB2312"/>
          <w:sz w:val="32"/>
          <w:szCs w:val="32"/>
        </w:rPr>
        <w:t>研究生</w:t>
      </w:r>
      <w:r>
        <w:rPr>
          <w:rFonts w:ascii="仿宋" w:hAnsi="仿宋" w:eastAsia="仿宋" w:cs="仿宋_GB2312"/>
          <w:sz w:val="32"/>
          <w:szCs w:val="32"/>
        </w:rPr>
        <w:t>招生</w:t>
      </w:r>
      <w:r>
        <w:rPr>
          <w:rFonts w:hint="eastAsia" w:ascii="仿宋" w:hAnsi="仿宋" w:eastAsia="仿宋" w:cs="仿宋_GB2312"/>
          <w:sz w:val="32"/>
          <w:szCs w:val="32"/>
        </w:rPr>
        <w:t>工作</w:t>
      </w:r>
      <w:r>
        <w:rPr>
          <w:rFonts w:ascii="仿宋" w:hAnsi="仿宋" w:eastAsia="仿宋" w:cs="仿宋_GB2312"/>
          <w:sz w:val="32"/>
          <w:szCs w:val="32"/>
        </w:rPr>
        <w:t>小组</w:t>
      </w:r>
      <w:r>
        <w:rPr>
          <w:rFonts w:hint="eastAsia" w:ascii="仿宋" w:hAnsi="仿宋" w:eastAsia="仿宋" w:cs="仿宋_GB2312"/>
          <w:sz w:val="32"/>
          <w:szCs w:val="32"/>
        </w:rPr>
        <w:t>审定。研究生院</w:t>
      </w:r>
      <w:r>
        <w:rPr>
          <w:rFonts w:ascii="仿宋" w:hAnsi="仿宋" w:eastAsia="仿宋" w:cs="仿宋_GB2312"/>
          <w:sz w:val="32"/>
          <w:szCs w:val="32"/>
        </w:rPr>
        <w:t>研究生招生工作小组通过集体研究，</w:t>
      </w:r>
      <w:r>
        <w:rPr>
          <w:rFonts w:hint="eastAsia" w:ascii="仿宋" w:hAnsi="仿宋" w:eastAsia="仿宋" w:cs="仿宋_GB2312"/>
          <w:sz w:val="32"/>
          <w:szCs w:val="32"/>
        </w:rPr>
        <w:t>对专家组提交的材料审核结果进行审定，提出</w:t>
      </w:r>
      <w:r>
        <w:rPr>
          <w:rFonts w:ascii="仿宋" w:hAnsi="仿宋" w:eastAsia="仿宋" w:cs="仿宋_GB2312"/>
          <w:sz w:val="32"/>
          <w:szCs w:val="32"/>
        </w:rPr>
        <w:t>进入</w:t>
      </w:r>
      <w:r>
        <w:rPr>
          <w:rFonts w:hint="eastAsia" w:ascii="仿宋" w:hAnsi="仿宋" w:eastAsia="仿宋" w:cs="仿宋_GB2312"/>
          <w:sz w:val="32"/>
          <w:szCs w:val="32"/>
        </w:rPr>
        <w:t>综合</w:t>
      </w:r>
      <w:r>
        <w:rPr>
          <w:rFonts w:ascii="仿宋" w:hAnsi="仿宋" w:eastAsia="仿宋" w:cs="仿宋_GB2312"/>
          <w:sz w:val="32"/>
          <w:szCs w:val="32"/>
        </w:rPr>
        <w:t>考核的名单</w:t>
      </w:r>
      <w:r>
        <w:rPr>
          <w:rFonts w:hint="eastAsia" w:ascii="仿宋" w:hAnsi="仿宋" w:eastAsia="仿宋" w:cs="仿宋_GB2312"/>
          <w:sz w:val="32"/>
          <w:szCs w:val="32"/>
        </w:rPr>
        <w:t>。</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5.材料审核结果公布。学院在本单位网站公布经学院招生工作小组审定的所有申请人的材料审核结果</w:t>
      </w:r>
      <w:r>
        <w:rPr>
          <w:rFonts w:ascii="仿宋" w:hAnsi="仿宋" w:eastAsia="仿宋" w:cs="仿宋_GB2312"/>
          <w:sz w:val="32"/>
          <w:szCs w:val="32"/>
        </w:rPr>
        <w:t>。</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6.综合考核名单确定与公示。</w:t>
      </w:r>
      <w:r>
        <w:rPr>
          <w:rFonts w:hint="eastAsia" w:ascii="仿宋" w:hAnsi="仿宋" w:eastAsia="仿宋" w:cs="仿宋_GB2312"/>
          <w:sz w:val="32"/>
          <w:szCs w:val="32"/>
          <w:lang w:eastAsia="zh-CN"/>
        </w:rPr>
        <w:t>学校研究生招生办公室</w:t>
      </w:r>
      <w:r>
        <w:rPr>
          <w:rFonts w:hint="eastAsia" w:ascii="仿宋" w:hAnsi="仿宋" w:eastAsia="仿宋" w:cs="仿宋_GB2312"/>
          <w:sz w:val="32"/>
          <w:szCs w:val="32"/>
        </w:rPr>
        <w:t>对学院推荐进入综合考核的申请人材料进行审核，并将通过审核的考生名单在学校研究生招生信息网公示。</w:t>
      </w:r>
    </w:p>
    <w:p>
      <w:pPr>
        <w:ind w:firstLine="480" w:firstLineChars="150"/>
        <w:rPr>
          <w:rFonts w:ascii="仿宋" w:hAnsi="仿宋" w:eastAsia="仿宋" w:cs="仿宋_GB2312"/>
          <w:bCs/>
          <w:sz w:val="32"/>
          <w:szCs w:val="32"/>
        </w:rPr>
      </w:pPr>
      <w:r>
        <w:rPr>
          <w:rFonts w:hint="eastAsia" w:ascii="仿宋" w:hAnsi="仿宋" w:eastAsia="仿宋" w:cs="仿宋_GB2312"/>
          <w:bCs/>
          <w:sz w:val="32"/>
          <w:szCs w:val="32"/>
        </w:rPr>
        <w:t>（三）综合考核</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1.综合考核资格复审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进入综合考核的申请人需在学校规定时间内，携带报名时提交材料的原件，到学校进行资格复审。</w:t>
      </w:r>
      <w:r>
        <w:rPr>
          <w:rFonts w:ascii="仿宋" w:hAnsi="仿宋" w:eastAsia="仿宋" w:cs="仿宋_GB2312"/>
          <w:sz w:val="32"/>
          <w:szCs w:val="32"/>
        </w:rPr>
        <w:t>未进行资格复审或资格复审未通过的考生一律不</w:t>
      </w:r>
      <w:r>
        <w:rPr>
          <w:rFonts w:hint="eastAsia" w:ascii="仿宋" w:hAnsi="仿宋" w:eastAsia="仿宋" w:cs="仿宋_GB2312"/>
          <w:sz w:val="32"/>
          <w:szCs w:val="32"/>
        </w:rPr>
        <w:t>准参加综合考核</w:t>
      </w:r>
      <w:r>
        <w:rPr>
          <w:rFonts w:ascii="仿宋" w:hAnsi="仿宋" w:eastAsia="仿宋" w:cs="仿宋_GB2312"/>
          <w:sz w:val="32"/>
          <w:szCs w:val="32"/>
        </w:rPr>
        <w:t>。</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2.综合考核主要方式和内容</w:t>
      </w:r>
    </w:p>
    <w:p>
      <w:pPr>
        <w:ind w:firstLine="480" w:firstLineChars="150"/>
        <w:rPr>
          <w:rFonts w:ascii="仿宋_GB2312" w:hAnsi="仿宋_GB2312" w:eastAsia="仿宋_GB2312"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1</w:t>
      </w:r>
      <w:r>
        <w:rPr>
          <w:rFonts w:hint="eastAsia" w:ascii="仿宋" w:hAnsi="仿宋" w:eastAsia="仿宋" w:cs="仿宋_GB2312"/>
          <w:sz w:val="32"/>
          <w:szCs w:val="32"/>
        </w:rPr>
        <w:t>）专业基础知识笔试</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海洋化学专业笔试科目为《化学海洋学》；</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海洋化学工程与技术专业笔试科目为《化工原理</w:t>
      </w:r>
      <w:r>
        <w:rPr>
          <w:rFonts w:hint="eastAsia" w:ascii="仿宋" w:hAnsi="仿宋" w:eastAsia="仿宋" w:cs="仿宋_GB2312"/>
          <w:sz w:val="32"/>
          <w:szCs w:val="32"/>
          <w:lang w:val="en-US" w:eastAsia="zh-CN"/>
        </w:rPr>
        <w:t>A</w:t>
      </w:r>
      <w:r>
        <w:rPr>
          <w:rFonts w:hint="eastAsia" w:ascii="仿宋" w:hAnsi="仿宋" w:eastAsia="仿宋" w:cs="仿宋_GB2312"/>
          <w:sz w:val="32"/>
          <w:szCs w:val="32"/>
        </w:rPr>
        <w:t>》或《有机化学》任选一门。</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笔试科目考试时长均为120分钟，满分100分。</w:t>
      </w:r>
    </w:p>
    <w:p>
      <w:pPr>
        <w:ind w:firstLine="480" w:firstLineChars="150"/>
        <w:rPr>
          <w:rFonts w:ascii="仿宋" w:hAnsi="仿宋" w:eastAsia="仿宋" w:cs="仿宋_GB2312"/>
          <w:sz w:val="32"/>
          <w:szCs w:val="32"/>
        </w:rPr>
      </w:pPr>
      <w:r>
        <w:rPr>
          <w:rFonts w:hint="eastAsia" w:ascii="仿宋" w:hAnsi="仿宋" w:eastAsia="仿宋" w:cs="仿宋_GB2312"/>
          <w:sz w:val="32"/>
          <w:szCs w:val="32"/>
        </w:rPr>
        <w:t>（2）综合面试</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面试专家组由不少于5人的本学科博士生导师组成。</w:t>
      </w:r>
      <w:bookmarkStart w:id="0" w:name="_Hlk528161859"/>
      <w:r>
        <w:rPr>
          <w:rFonts w:hint="eastAsia" w:ascii="仿宋" w:hAnsi="仿宋" w:eastAsia="仿宋" w:cs="仿宋_GB2312"/>
          <w:sz w:val="32"/>
          <w:szCs w:val="32"/>
        </w:rPr>
        <w:t>面试包括业务考核和外语考核。主要了解考生</w:t>
      </w:r>
      <w:r>
        <w:rPr>
          <w:rFonts w:ascii="仿宋" w:hAnsi="仿宋" w:eastAsia="仿宋" w:cs="仿宋_GB2312"/>
          <w:sz w:val="32"/>
          <w:szCs w:val="32"/>
        </w:rPr>
        <w:t>知识结构、学习动机、科研背景和研究经历，考核</w:t>
      </w:r>
      <w:r>
        <w:rPr>
          <w:rFonts w:hint="eastAsia" w:ascii="仿宋" w:hAnsi="仿宋" w:eastAsia="仿宋" w:cs="仿宋_GB2312"/>
          <w:sz w:val="32"/>
          <w:szCs w:val="32"/>
        </w:rPr>
        <w:t>申请人</w:t>
      </w:r>
      <w:r>
        <w:rPr>
          <w:rFonts w:ascii="仿宋" w:hAnsi="仿宋" w:eastAsia="仿宋" w:cs="仿宋_GB2312"/>
          <w:sz w:val="32"/>
          <w:szCs w:val="32"/>
        </w:rPr>
        <w:t>外语听力、口语能力，综合评价考生的科学素养</w:t>
      </w:r>
      <w:r>
        <w:rPr>
          <w:rFonts w:hint="eastAsia" w:ascii="仿宋" w:hAnsi="仿宋" w:eastAsia="仿宋" w:cs="仿宋_GB2312"/>
          <w:sz w:val="32"/>
          <w:szCs w:val="32"/>
        </w:rPr>
        <w:t>（</w:t>
      </w:r>
      <w:r>
        <w:rPr>
          <w:rFonts w:ascii="仿宋" w:hAnsi="仿宋" w:eastAsia="仿宋" w:cs="仿宋_GB2312"/>
          <w:sz w:val="32"/>
          <w:szCs w:val="32"/>
        </w:rPr>
        <w:t>包含申请人</w:t>
      </w:r>
      <w:r>
        <w:rPr>
          <w:rFonts w:hint="eastAsia" w:ascii="仿宋" w:hAnsi="仿宋" w:eastAsia="仿宋" w:cs="仿宋_GB2312"/>
          <w:sz w:val="32"/>
          <w:szCs w:val="32"/>
        </w:rPr>
        <w:t>综合运用所学知识的能力、</w:t>
      </w:r>
      <w:r>
        <w:rPr>
          <w:rFonts w:ascii="仿宋" w:hAnsi="仿宋" w:eastAsia="仿宋" w:cs="仿宋_GB2312"/>
          <w:sz w:val="32"/>
          <w:szCs w:val="32"/>
        </w:rPr>
        <w:t>对本学科前沿知识及</w:t>
      </w:r>
      <w:r>
        <w:rPr>
          <w:rFonts w:hint="eastAsia" w:ascii="仿宋" w:hAnsi="仿宋" w:eastAsia="仿宋" w:cs="仿宋_GB2312"/>
          <w:sz w:val="32"/>
          <w:szCs w:val="32"/>
        </w:rPr>
        <w:t>最新</w:t>
      </w:r>
      <w:r>
        <w:rPr>
          <w:rFonts w:ascii="仿宋" w:hAnsi="仿宋" w:eastAsia="仿宋" w:cs="仿宋_GB2312"/>
          <w:sz w:val="32"/>
          <w:szCs w:val="32"/>
        </w:rPr>
        <w:t>研究动态掌握情况）、个人品行、创新能力和培养潜力等</w:t>
      </w:r>
      <w:r>
        <w:rPr>
          <w:rFonts w:hint="eastAsia" w:ascii="仿宋" w:hAnsi="仿宋" w:eastAsia="仿宋" w:cs="仿宋_GB2312"/>
          <w:sz w:val="32"/>
          <w:szCs w:val="32"/>
        </w:rPr>
        <w:t>。每位考生需准备5</w:t>
      </w:r>
      <w:r>
        <w:rPr>
          <w:rFonts w:ascii="仿宋" w:hAnsi="仿宋" w:eastAsia="仿宋" w:cs="仿宋_GB2312"/>
          <w:sz w:val="32"/>
          <w:szCs w:val="32"/>
        </w:rPr>
        <w:t>-10</w:t>
      </w:r>
      <w:r>
        <w:rPr>
          <w:rFonts w:hint="eastAsia" w:ascii="仿宋" w:hAnsi="仿宋" w:eastAsia="仿宋" w:cs="仿宋_GB2312"/>
          <w:sz w:val="32"/>
          <w:szCs w:val="32"/>
        </w:rPr>
        <w:t>分钟汇报，主要</w:t>
      </w:r>
      <w:r>
        <w:rPr>
          <w:rFonts w:hint="eastAsia" w:ascii="仿宋" w:hAnsi="仿宋" w:eastAsia="仿宋"/>
          <w:sz w:val="32"/>
          <w:szCs w:val="32"/>
        </w:rPr>
        <w:t>围绕个人学习</w:t>
      </w:r>
      <w:r>
        <w:rPr>
          <w:rFonts w:ascii="仿宋" w:hAnsi="仿宋" w:eastAsia="仿宋"/>
          <w:sz w:val="32"/>
          <w:szCs w:val="32"/>
        </w:rPr>
        <w:t>及科研情况</w:t>
      </w:r>
      <w:r>
        <w:rPr>
          <w:rFonts w:hint="eastAsia" w:ascii="仿宋" w:hAnsi="仿宋" w:eastAsia="仿宋"/>
          <w:sz w:val="32"/>
          <w:szCs w:val="32"/>
        </w:rPr>
        <w:t>、今后的研究设想等内容展开</w:t>
      </w:r>
      <w:r>
        <w:rPr>
          <w:rFonts w:ascii="仿宋" w:hAnsi="仿宋" w:eastAsia="仿宋"/>
          <w:sz w:val="32"/>
          <w:szCs w:val="32"/>
        </w:rPr>
        <w:t>。</w:t>
      </w:r>
      <w:r>
        <w:rPr>
          <w:rFonts w:hint="eastAsia" w:ascii="仿宋" w:hAnsi="仿宋" w:eastAsia="仿宋"/>
          <w:sz w:val="32"/>
          <w:szCs w:val="32"/>
        </w:rPr>
        <w:t>随后由考生回答</w:t>
      </w:r>
      <w:r>
        <w:rPr>
          <w:rFonts w:ascii="仿宋" w:hAnsi="仿宋" w:eastAsia="仿宋"/>
          <w:sz w:val="32"/>
          <w:szCs w:val="32"/>
        </w:rPr>
        <w:t>专家评审</w:t>
      </w:r>
      <w:r>
        <w:rPr>
          <w:rFonts w:hint="eastAsia" w:ascii="仿宋" w:hAnsi="仿宋" w:eastAsia="仿宋"/>
          <w:sz w:val="32"/>
          <w:szCs w:val="32"/>
        </w:rPr>
        <w:t>提出的</w:t>
      </w:r>
      <w:r>
        <w:rPr>
          <w:rFonts w:ascii="仿宋" w:hAnsi="仿宋" w:eastAsia="仿宋"/>
          <w:sz w:val="32"/>
          <w:szCs w:val="32"/>
        </w:rPr>
        <w:t>问题</w:t>
      </w:r>
      <w:r>
        <w:rPr>
          <w:rFonts w:hint="eastAsia" w:ascii="仿宋" w:hAnsi="仿宋" w:eastAsia="仿宋" w:cs="仿宋_GB2312"/>
          <w:sz w:val="32"/>
          <w:szCs w:val="32"/>
        </w:rPr>
        <w:t>。面试时间不得少于30分钟（含个人陈述环节）。</w:t>
      </w:r>
    </w:p>
    <w:bookmarkEnd w:id="0"/>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（3）思想政治素质和品德考核</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思想政治素质和品德考核的主要内容包括考生的政治态度、思想表现、学习（工作）态度、道德品质、遵纪守法、诚实守信等。</w:t>
      </w:r>
    </w:p>
    <w:p>
      <w:pPr>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（4）体检</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体检标准以当年度学校公布的研究生体检标准为准。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3.专业基础知识笔试和面试全过程须进行录音录像。</w:t>
      </w:r>
    </w:p>
    <w:p>
      <w:pPr>
        <w:ind w:firstLine="643" w:firstLineChars="200"/>
        <w:jc w:val="left"/>
        <w:rPr>
          <w:rFonts w:ascii="仿宋" w:hAnsi="仿宋" w:eastAsia="仿宋" w:cs="仿宋_GB2312"/>
          <w:b/>
          <w:sz w:val="32"/>
          <w:szCs w:val="32"/>
        </w:rPr>
      </w:pPr>
      <w:r>
        <w:rPr>
          <w:rFonts w:hint="eastAsia" w:ascii="仿宋" w:hAnsi="仿宋" w:eastAsia="仿宋" w:cs="仿宋_GB2312"/>
          <w:b/>
          <w:sz w:val="32"/>
          <w:szCs w:val="32"/>
        </w:rPr>
        <w:t>五、综合考核结果的使用</w:t>
      </w:r>
    </w:p>
    <w:p>
      <w:pPr>
        <w:ind w:firstLine="320" w:firstLineChars="100"/>
        <w:outlineLvl w:val="0"/>
        <w:rPr>
          <w:rFonts w:ascii="仿宋" w:hAnsi="仿宋" w:eastAsia="仿宋" w:cs="仿宋_GB2312"/>
          <w:sz w:val="32"/>
          <w:szCs w:val="32"/>
        </w:rPr>
      </w:pPr>
      <w:r>
        <w:rPr>
          <w:rFonts w:hint="eastAsia" w:ascii="仿宋" w:hAnsi="仿宋" w:eastAsia="仿宋" w:cs="仿宋_GB2312"/>
          <w:sz w:val="32"/>
          <w:szCs w:val="32"/>
        </w:rPr>
        <w:t>（一）考试总成绩。考试总成绩=笔试成绩×3</w:t>
      </w:r>
      <w:r>
        <w:rPr>
          <w:rFonts w:ascii="仿宋" w:hAnsi="仿宋" w:eastAsia="仿宋" w:cs="仿宋_GB2312"/>
          <w:sz w:val="32"/>
          <w:szCs w:val="32"/>
        </w:rPr>
        <w:t>0%</w:t>
      </w:r>
      <w:r>
        <w:rPr>
          <w:rFonts w:hint="eastAsia" w:ascii="仿宋" w:hAnsi="仿宋" w:eastAsia="仿宋" w:cs="仿宋_GB2312"/>
          <w:sz w:val="32"/>
          <w:szCs w:val="32"/>
        </w:rPr>
        <w:t>+业务考核成绩×5</w:t>
      </w:r>
      <w:r>
        <w:rPr>
          <w:rFonts w:ascii="仿宋" w:hAnsi="仿宋" w:eastAsia="仿宋" w:cs="仿宋_GB2312"/>
          <w:sz w:val="32"/>
          <w:szCs w:val="32"/>
        </w:rPr>
        <w:t>0%</w:t>
      </w:r>
      <w:r>
        <w:rPr>
          <w:rFonts w:hint="eastAsia" w:ascii="仿宋" w:hAnsi="仿宋" w:eastAsia="仿宋" w:cs="仿宋_GB2312"/>
          <w:sz w:val="32"/>
          <w:szCs w:val="32"/>
        </w:rPr>
        <w:t>+外语考核成绩×20</w:t>
      </w:r>
      <w:r>
        <w:rPr>
          <w:rFonts w:ascii="仿宋" w:hAnsi="仿宋" w:eastAsia="仿宋" w:cs="仿宋_GB2312"/>
          <w:sz w:val="32"/>
          <w:szCs w:val="32"/>
        </w:rPr>
        <w:t>%</w:t>
      </w:r>
      <w:r>
        <w:rPr>
          <w:rFonts w:hint="eastAsia" w:ascii="仿宋" w:hAnsi="仿宋" w:eastAsia="仿宋" w:cs="仿宋_GB2312"/>
          <w:sz w:val="32"/>
          <w:szCs w:val="32"/>
        </w:rPr>
        <w:t>，各项成绩均采用百分制。考试总成绩及任一项成绩出现60分以下者，不予录取。</w:t>
      </w:r>
    </w:p>
    <w:p>
      <w:pPr>
        <w:ind w:firstLine="320" w:firstLineChars="100"/>
        <w:outlineLvl w:val="0"/>
        <w:rPr>
          <w:rFonts w:ascii="仿宋" w:hAnsi="仿宋" w:eastAsia="仿宋" w:cs="仿宋_GB2312"/>
          <w:b/>
          <w:sz w:val="32"/>
          <w:szCs w:val="32"/>
        </w:rPr>
      </w:pPr>
      <w:r>
        <w:rPr>
          <w:rFonts w:hint="eastAsia" w:ascii="仿宋" w:hAnsi="仿宋" w:eastAsia="仿宋" w:cs="仿宋_GB2312"/>
          <w:sz w:val="32"/>
          <w:szCs w:val="32"/>
        </w:rPr>
        <w:t>（二）思想政治素质和品德考核不合格者、体检不合格者不予录取。</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六、录取</w:t>
      </w:r>
    </w:p>
    <w:p>
      <w:pPr>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核”制考生须与当年硕博连读考生共同按照综合考核总成绩由高至低进行排序。学院研究生招生工作小组根据当年招生导师招生计划，按照“按需招生、德智体全面衡量、择优录取、宁缺毋滥”的原则提出拟录取名单，</w:t>
      </w:r>
      <w:r>
        <w:rPr>
          <w:rFonts w:ascii="仿宋_GB2312" w:hAnsi="仿宋_GB2312" w:eastAsia="仿宋_GB2312" w:cs="仿宋_GB2312"/>
          <w:sz w:val="32"/>
          <w:szCs w:val="32"/>
        </w:rPr>
        <w:t>报学校研究生招生工作领导小组审定后予以公示。</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七、监督管理</w:t>
      </w:r>
    </w:p>
    <w:p>
      <w:pPr>
        <w:ind w:firstLine="320" w:firstLineChars="100"/>
        <w:rPr>
          <w:rFonts w:ascii="仿宋" w:hAnsi="仿宋" w:eastAsia="仿宋" w:cs="仿宋_GB2312"/>
          <w:sz w:val="32"/>
          <w:szCs w:val="32"/>
        </w:rPr>
      </w:pPr>
      <w:r>
        <w:rPr>
          <w:rFonts w:ascii="仿宋" w:hAnsi="仿宋" w:eastAsia="仿宋" w:cs="仿宋_GB2312"/>
          <w:sz w:val="32"/>
          <w:szCs w:val="32"/>
        </w:rPr>
        <w:t>（</w:t>
      </w:r>
      <w:r>
        <w:rPr>
          <w:rFonts w:hint="eastAsia" w:ascii="仿宋" w:hAnsi="仿宋" w:eastAsia="仿宋" w:cs="仿宋_GB2312"/>
          <w:sz w:val="32"/>
          <w:szCs w:val="32"/>
        </w:rPr>
        <w:t>一</w:t>
      </w:r>
      <w:r>
        <w:rPr>
          <w:rFonts w:ascii="仿宋" w:hAnsi="仿宋" w:eastAsia="仿宋" w:cs="仿宋_GB2312"/>
          <w:sz w:val="32"/>
          <w:szCs w:val="32"/>
        </w:rPr>
        <w:t>）实行信息公开制度。</w:t>
      </w:r>
      <w:r>
        <w:rPr>
          <w:rFonts w:hint="eastAsia" w:ascii="仿宋" w:hAnsi="仿宋" w:eastAsia="仿宋" w:cs="仿宋_GB2312"/>
          <w:sz w:val="32"/>
          <w:szCs w:val="32"/>
        </w:rPr>
        <w:t>学</w:t>
      </w:r>
      <w:r>
        <w:rPr>
          <w:rFonts w:ascii="仿宋" w:hAnsi="仿宋" w:eastAsia="仿宋" w:cs="仿宋_GB2312"/>
          <w:sz w:val="32"/>
          <w:szCs w:val="32"/>
        </w:rPr>
        <w:t>院</w:t>
      </w:r>
      <w:r>
        <w:rPr>
          <w:rFonts w:hint="eastAsia" w:ascii="仿宋" w:hAnsi="仿宋" w:eastAsia="仿宋" w:cs="仿宋_GB2312"/>
          <w:sz w:val="32"/>
          <w:szCs w:val="32"/>
        </w:rPr>
        <w:t>应</w:t>
      </w:r>
      <w:r>
        <w:rPr>
          <w:rFonts w:ascii="仿宋" w:hAnsi="仿宋" w:eastAsia="仿宋" w:cs="仿宋_GB2312"/>
          <w:sz w:val="32"/>
          <w:szCs w:val="32"/>
        </w:rPr>
        <w:t>在本院网站开辟专栏，主动公开</w:t>
      </w:r>
      <w:r>
        <w:rPr>
          <w:rFonts w:hint="eastAsia" w:ascii="仿宋" w:hAnsi="仿宋" w:eastAsia="仿宋" w:cs="仿宋_GB2312"/>
          <w:sz w:val="32"/>
          <w:szCs w:val="32"/>
        </w:rPr>
        <w:t>本单位实施细则、</w:t>
      </w:r>
      <w:r>
        <w:rPr>
          <w:rFonts w:ascii="仿宋" w:hAnsi="仿宋" w:eastAsia="仿宋" w:cs="仿宋_GB2312"/>
          <w:sz w:val="32"/>
          <w:szCs w:val="32"/>
        </w:rPr>
        <w:t>考生的</w:t>
      </w:r>
      <w:r>
        <w:rPr>
          <w:rFonts w:hint="eastAsia" w:ascii="仿宋" w:hAnsi="仿宋" w:eastAsia="仿宋" w:cs="仿宋_GB2312"/>
          <w:sz w:val="32"/>
          <w:szCs w:val="32"/>
        </w:rPr>
        <w:t>材料审核结果和综合</w:t>
      </w:r>
      <w:r>
        <w:rPr>
          <w:rFonts w:ascii="仿宋" w:hAnsi="仿宋" w:eastAsia="仿宋" w:cs="仿宋_GB2312"/>
          <w:sz w:val="32"/>
          <w:szCs w:val="32"/>
        </w:rPr>
        <w:t>考核</w:t>
      </w:r>
      <w:r>
        <w:rPr>
          <w:rFonts w:hint="eastAsia" w:ascii="仿宋" w:hAnsi="仿宋" w:eastAsia="仿宋" w:cs="仿宋_GB2312"/>
          <w:sz w:val="32"/>
          <w:szCs w:val="32"/>
        </w:rPr>
        <w:t>结果</w:t>
      </w:r>
      <w:r>
        <w:rPr>
          <w:rFonts w:ascii="仿宋" w:hAnsi="仿宋" w:eastAsia="仿宋" w:cs="仿宋_GB2312"/>
          <w:sz w:val="32"/>
          <w:szCs w:val="32"/>
        </w:rPr>
        <w:t>等信息。</w:t>
      </w:r>
    </w:p>
    <w:p>
      <w:pPr>
        <w:ind w:firstLine="320" w:firstLineChars="100"/>
        <w:rPr>
          <w:rFonts w:ascii="仿宋" w:hAnsi="仿宋" w:eastAsia="仿宋" w:cs="仿宋_GB2312"/>
          <w:sz w:val="32"/>
          <w:szCs w:val="32"/>
        </w:rPr>
      </w:pPr>
      <w:r>
        <w:rPr>
          <w:rFonts w:hint="eastAsia" w:ascii="仿宋" w:hAnsi="仿宋" w:eastAsia="仿宋" w:cs="仿宋_GB2312"/>
          <w:sz w:val="32"/>
          <w:szCs w:val="32"/>
        </w:rPr>
        <w:t>（二）实行复议制度。考生如对材料审核、综合考核或录取结果有异议，可向学校监察处、研究生院进行投诉和申诉。对投诉和申诉问题经初步调查属实的，由学校研究生招生工作领导小组责成有关人员进行复议。</w:t>
      </w:r>
    </w:p>
    <w:p>
      <w:pPr>
        <w:ind w:firstLine="320" w:firstLineChars="1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实行回避制度。</w:t>
      </w:r>
      <w:r>
        <w:rPr>
          <w:rFonts w:hint="eastAsia" w:ascii="仿宋" w:hAnsi="仿宋" w:eastAsia="仿宋" w:cs="仿宋_GB2312"/>
          <w:sz w:val="32"/>
          <w:szCs w:val="32"/>
        </w:rPr>
        <w:t>有直系亲属或利害关系人</w:t>
      </w:r>
      <w:r>
        <w:rPr>
          <w:rFonts w:ascii="仿宋" w:hAnsi="仿宋" w:eastAsia="仿宋" w:cs="仿宋_GB2312"/>
          <w:sz w:val="32"/>
          <w:szCs w:val="32"/>
        </w:rPr>
        <w:t>报考本单位博士生的人员，不得参加本单位当年度的博士生</w:t>
      </w:r>
      <w:r>
        <w:rPr>
          <w:rFonts w:hint="eastAsia" w:ascii="仿宋" w:hAnsi="仿宋" w:eastAsia="仿宋" w:cs="仿宋_GB2312"/>
          <w:sz w:val="32"/>
          <w:szCs w:val="32"/>
        </w:rPr>
        <w:t>考试</w:t>
      </w:r>
      <w:r>
        <w:rPr>
          <w:rFonts w:ascii="仿宋" w:hAnsi="仿宋" w:eastAsia="仿宋" w:cs="仿宋_GB2312"/>
          <w:sz w:val="32"/>
          <w:szCs w:val="32"/>
        </w:rPr>
        <w:t>招生工作。</w:t>
      </w:r>
    </w:p>
    <w:p>
      <w:pPr>
        <w:ind w:firstLine="643" w:firstLineChars="200"/>
        <w:rPr>
          <w:rFonts w:ascii="仿宋" w:hAnsi="仿宋" w:eastAsia="仿宋" w:cs="仿宋_GB2312"/>
          <w:bCs/>
          <w:sz w:val="32"/>
          <w:szCs w:val="32"/>
        </w:rPr>
      </w:pPr>
      <w:r>
        <w:rPr>
          <w:rFonts w:hint="eastAsia" w:ascii="仿宋" w:hAnsi="仿宋" w:eastAsia="仿宋" w:cs="仿宋_GB2312"/>
          <w:b/>
          <w:sz w:val="32"/>
          <w:szCs w:val="32"/>
        </w:rPr>
        <w:t>八、本细则仅适用于学术学位博士研究生招生工作，工程博士招生工作实施方案参照《中国海洋大学</w:t>
      </w:r>
      <w:r>
        <w:rPr>
          <w:rFonts w:ascii="仿宋" w:hAnsi="仿宋" w:eastAsia="仿宋" w:cs="仿宋_GB2312"/>
          <w:b/>
          <w:sz w:val="32"/>
          <w:szCs w:val="32"/>
        </w:rPr>
        <w:t>2019年工程博士研究生招生简章》</w:t>
      </w:r>
      <w:r>
        <w:rPr>
          <w:rFonts w:hint="eastAsia" w:ascii="仿宋" w:hAnsi="仿宋" w:eastAsia="仿宋" w:cs="仿宋_GB2312"/>
          <w:b/>
          <w:sz w:val="32"/>
          <w:szCs w:val="32"/>
        </w:rPr>
        <w:t>。</w:t>
      </w:r>
    </w:p>
    <w:p>
      <w:pPr>
        <w:ind w:firstLine="643" w:firstLineChars="200"/>
        <w:rPr>
          <w:rFonts w:ascii="仿宋" w:hAnsi="仿宋" w:eastAsia="仿宋" w:cs="仿宋_GB2312"/>
          <w:sz w:val="32"/>
          <w:szCs w:val="32"/>
        </w:rPr>
      </w:pPr>
      <w:r>
        <w:rPr>
          <w:rFonts w:hint="eastAsia" w:ascii="仿宋" w:hAnsi="仿宋" w:eastAsia="仿宋" w:cs="仿宋_GB2312"/>
          <w:b/>
          <w:sz w:val="32"/>
          <w:szCs w:val="32"/>
        </w:rPr>
        <w:t>九、本办法由化学化工学院负责解释。</w:t>
      </w:r>
    </w:p>
    <w:p>
      <w:pPr>
        <w:jc w:val="left"/>
        <w:rPr>
          <w:rFonts w:ascii="仿宋" w:hAnsi="仿宋" w:eastAsia="仿宋"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5b8bu4f53">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DA3C7B"/>
    <w:rsid w:val="000801B8"/>
    <w:rsid w:val="00090406"/>
    <w:rsid w:val="000C35E1"/>
    <w:rsid w:val="000E1D3D"/>
    <w:rsid w:val="000E2F83"/>
    <w:rsid w:val="000E47EC"/>
    <w:rsid w:val="001039A0"/>
    <w:rsid w:val="00177FD7"/>
    <w:rsid w:val="00186B70"/>
    <w:rsid w:val="001A272D"/>
    <w:rsid w:val="001A7B67"/>
    <w:rsid w:val="0020381A"/>
    <w:rsid w:val="00207011"/>
    <w:rsid w:val="00230ECD"/>
    <w:rsid w:val="00251D04"/>
    <w:rsid w:val="0025693C"/>
    <w:rsid w:val="00296B57"/>
    <w:rsid w:val="002C673F"/>
    <w:rsid w:val="002F74A9"/>
    <w:rsid w:val="003328A5"/>
    <w:rsid w:val="00347C4B"/>
    <w:rsid w:val="003765FD"/>
    <w:rsid w:val="003904BB"/>
    <w:rsid w:val="00397C93"/>
    <w:rsid w:val="003B7E88"/>
    <w:rsid w:val="003D51BD"/>
    <w:rsid w:val="003E6FA6"/>
    <w:rsid w:val="00414A84"/>
    <w:rsid w:val="00441A1B"/>
    <w:rsid w:val="00480461"/>
    <w:rsid w:val="004811C9"/>
    <w:rsid w:val="004829B2"/>
    <w:rsid w:val="004B0246"/>
    <w:rsid w:val="004B1067"/>
    <w:rsid w:val="004B3447"/>
    <w:rsid w:val="004C2E3D"/>
    <w:rsid w:val="004E1C2A"/>
    <w:rsid w:val="005719A8"/>
    <w:rsid w:val="005829B8"/>
    <w:rsid w:val="005B25EE"/>
    <w:rsid w:val="005D4440"/>
    <w:rsid w:val="005D7223"/>
    <w:rsid w:val="005E76AD"/>
    <w:rsid w:val="00652A38"/>
    <w:rsid w:val="00657C1C"/>
    <w:rsid w:val="006A1CDD"/>
    <w:rsid w:val="006C328D"/>
    <w:rsid w:val="006D7E91"/>
    <w:rsid w:val="006E0438"/>
    <w:rsid w:val="006E3817"/>
    <w:rsid w:val="006F40F9"/>
    <w:rsid w:val="00717BBA"/>
    <w:rsid w:val="00726380"/>
    <w:rsid w:val="00771DB4"/>
    <w:rsid w:val="007958A1"/>
    <w:rsid w:val="007D06D3"/>
    <w:rsid w:val="007D349C"/>
    <w:rsid w:val="007D53DB"/>
    <w:rsid w:val="007D5BD4"/>
    <w:rsid w:val="007D72CE"/>
    <w:rsid w:val="007F4080"/>
    <w:rsid w:val="0086336A"/>
    <w:rsid w:val="008650C3"/>
    <w:rsid w:val="008872F5"/>
    <w:rsid w:val="00893970"/>
    <w:rsid w:val="008B7EA0"/>
    <w:rsid w:val="008C049F"/>
    <w:rsid w:val="008D15AB"/>
    <w:rsid w:val="00922809"/>
    <w:rsid w:val="009508D2"/>
    <w:rsid w:val="0096265B"/>
    <w:rsid w:val="0097290C"/>
    <w:rsid w:val="009868FE"/>
    <w:rsid w:val="009C7B9D"/>
    <w:rsid w:val="009D2726"/>
    <w:rsid w:val="009D36DF"/>
    <w:rsid w:val="009E0FB2"/>
    <w:rsid w:val="009F050F"/>
    <w:rsid w:val="009F2659"/>
    <w:rsid w:val="00A0714C"/>
    <w:rsid w:val="00A1387D"/>
    <w:rsid w:val="00A17A0B"/>
    <w:rsid w:val="00A4209C"/>
    <w:rsid w:val="00A43D79"/>
    <w:rsid w:val="00A82A5F"/>
    <w:rsid w:val="00A96F9C"/>
    <w:rsid w:val="00AB35B4"/>
    <w:rsid w:val="00AC1E3F"/>
    <w:rsid w:val="00AC4BE8"/>
    <w:rsid w:val="00AC6527"/>
    <w:rsid w:val="00AF59F8"/>
    <w:rsid w:val="00B479BF"/>
    <w:rsid w:val="00B5560D"/>
    <w:rsid w:val="00B70C00"/>
    <w:rsid w:val="00B9246C"/>
    <w:rsid w:val="00BA4696"/>
    <w:rsid w:val="00BA54C5"/>
    <w:rsid w:val="00BD2EE5"/>
    <w:rsid w:val="00BF3038"/>
    <w:rsid w:val="00C13E27"/>
    <w:rsid w:val="00C75180"/>
    <w:rsid w:val="00C826DD"/>
    <w:rsid w:val="00CC56F8"/>
    <w:rsid w:val="00CC703C"/>
    <w:rsid w:val="00CE657D"/>
    <w:rsid w:val="00D11899"/>
    <w:rsid w:val="00D20C66"/>
    <w:rsid w:val="00D22146"/>
    <w:rsid w:val="00D2437D"/>
    <w:rsid w:val="00D32755"/>
    <w:rsid w:val="00D362A1"/>
    <w:rsid w:val="00D76B53"/>
    <w:rsid w:val="00D9216F"/>
    <w:rsid w:val="00D93004"/>
    <w:rsid w:val="00DA0B8B"/>
    <w:rsid w:val="00DA4B89"/>
    <w:rsid w:val="00DB65E7"/>
    <w:rsid w:val="00DB7DCE"/>
    <w:rsid w:val="00DD6D23"/>
    <w:rsid w:val="00DE065F"/>
    <w:rsid w:val="00E057D2"/>
    <w:rsid w:val="00E2513E"/>
    <w:rsid w:val="00E34AF6"/>
    <w:rsid w:val="00E448BD"/>
    <w:rsid w:val="00EE7248"/>
    <w:rsid w:val="00F01F15"/>
    <w:rsid w:val="00F23089"/>
    <w:rsid w:val="00F32FF6"/>
    <w:rsid w:val="00F52E5E"/>
    <w:rsid w:val="00F67CC7"/>
    <w:rsid w:val="00F73642"/>
    <w:rsid w:val="00FB407A"/>
    <w:rsid w:val="00FD6FDA"/>
    <w:rsid w:val="063121EC"/>
    <w:rsid w:val="0A347741"/>
    <w:rsid w:val="12534021"/>
    <w:rsid w:val="14E00A42"/>
    <w:rsid w:val="1B9C4A68"/>
    <w:rsid w:val="24552B53"/>
    <w:rsid w:val="28D73D0D"/>
    <w:rsid w:val="2E2844D4"/>
    <w:rsid w:val="37DA3C7B"/>
    <w:rsid w:val="386F4084"/>
    <w:rsid w:val="487D2879"/>
    <w:rsid w:val="4918540E"/>
    <w:rsid w:val="5F961444"/>
    <w:rsid w:val="61C73809"/>
    <w:rsid w:val="756336F2"/>
    <w:rsid w:val="7C936E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8"/>
    <w:qFormat/>
    <w:uiPriority w:val="0"/>
    <w:rPr>
      <w:b/>
      <w:bCs/>
    </w:rPr>
  </w:style>
  <w:style w:type="paragraph" w:styleId="4">
    <w:name w:val="annotation text"/>
    <w:basedOn w:val="1"/>
    <w:link w:val="17"/>
    <w:qFormat/>
    <w:uiPriority w:val="0"/>
    <w:pPr>
      <w:jc w:val="left"/>
    </w:pPr>
  </w:style>
  <w:style w:type="paragraph" w:styleId="5">
    <w:name w:val="Balloon Text"/>
    <w:basedOn w:val="1"/>
    <w:link w:val="19"/>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line="15" w:lineRule="atLeast"/>
      <w:jc w:val="left"/>
    </w:pPr>
    <w:rPr>
      <w:rFonts w:ascii="u5b8bu4f53" w:hAnsi="u5b8bu4f53" w:eastAsia="u5b8bu4f53" w:cs="Times New Roman"/>
      <w:color w:val="333333"/>
      <w:kern w:val="0"/>
      <w:sz w:val="18"/>
      <w:szCs w:val="18"/>
    </w:r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styleId="12">
    <w:name w:val="annotation reference"/>
    <w:basedOn w:val="9"/>
    <w:qFormat/>
    <w:uiPriority w:val="0"/>
    <w:rPr>
      <w:sz w:val="21"/>
      <w:szCs w:val="21"/>
    </w:rPr>
  </w:style>
  <w:style w:type="table" w:styleId="14">
    <w:name w:val="Table Grid"/>
    <w:basedOn w:val="13"/>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9"/>
    <w:link w:val="7"/>
    <w:qFormat/>
    <w:uiPriority w:val="0"/>
    <w:rPr>
      <w:kern w:val="2"/>
      <w:sz w:val="18"/>
      <w:szCs w:val="18"/>
    </w:rPr>
  </w:style>
  <w:style w:type="character" w:customStyle="1" w:styleId="16">
    <w:name w:val="页脚 字符"/>
    <w:basedOn w:val="9"/>
    <w:link w:val="6"/>
    <w:qFormat/>
    <w:uiPriority w:val="0"/>
    <w:rPr>
      <w:kern w:val="2"/>
      <w:sz w:val="18"/>
      <w:szCs w:val="18"/>
    </w:rPr>
  </w:style>
  <w:style w:type="character" w:customStyle="1" w:styleId="17">
    <w:name w:val="批注文字 字符"/>
    <w:basedOn w:val="9"/>
    <w:link w:val="4"/>
    <w:qFormat/>
    <w:uiPriority w:val="0"/>
    <w:rPr>
      <w:kern w:val="2"/>
      <w:sz w:val="21"/>
      <w:szCs w:val="24"/>
    </w:rPr>
  </w:style>
  <w:style w:type="character" w:customStyle="1" w:styleId="18">
    <w:name w:val="批注主题 字符"/>
    <w:basedOn w:val="17"/>
    <w:link w:val="3"/>
    <w:qFormat/>
    <w:uiPriority w:val="0"/>
    <w:rPr>
      <w:b/>
      <w:bCs/>
      <w:kern w:val="2"/>
      <w:sz w:val="21"/>
      <w:szCs w:val="24"/>
    </w:rPr>
  </w:style>
  <w:style w:type="character" w:customStyle="1" w:styleId="19">
    <w:name w:val="批注框文本 字符"/>
    <w:basedOn w:val="9"/>
    <w:link w:val="5"/>
    <w:qFormat/>
    <w:uiPriority w:val="0"/>
    <w:rPr>
      <w:kern w:val="2"/>
      <w:sz w:val="18"/>
      <w:szCs w:val="18"/>
    </w:rPr>
  </w:style>
  <w:style w:type="character" w:customStyle="1" w:styleId="20">
    <w:name w:val="item-name"/>
    <w:basedOn w:val="9"/>
    <w:qFormat/>
    <w:uiPriority w:val="0"/>
  </w:style>
  <w:style w:type="character" w:customStyle="1" w:styleId="21">
    <w:name w:val="item-name1"/>
    <w:basedOn w:val="9"/>
    <w:qFormat/>
    <w:uiPriority w:val="0"/>
  </w:style>
  <w:style w:type="character" w:customStyle="1" w:styleId="22">
    <w:name w:val="item-name2"/>
    <w:basedOn w:val="9"/>
    <w:qFormat/>
    <w:uiPriority w:val="0"/>
  </w:style>
  <w:style w:type="character" w:customStyle="1" w:styleId="23">
    <w:name w:val="item-name3"/>
    <w:basedOn w:val="9"/>
    <w:qFormat/>
    <w:uiPriority w:val="0"/>
  </w:style>
  <w:style w:type="character" w:customStyle="1" w:styleId="24">
    <w:name w:val="news_title"/>
    <w:basedOn w:val="9"/>
    <w:qFormat/>
    <w:uiPriority w:val="0"/>
  </w:style>
  <w:style w:type="character" w:customStyle="1" w:styleId="25">
    <w:name w:val="news_meta"/>
    <w:basedOn w:val="9"/>
    <w:qFormat/>
    <w:uiPriority w:val="0"/>
  </w:style>
  <w:style w:type="paragraph" w:styleId="26">
    <w:name w:val="List Paragraph"/>
    <w:basedOn w:val="1"/>
    <w:qFormat/>
    <w:uiPriority w:val="99"/>
    <w:pPr>
      <w:ind w:firstLine="420" w:firstLineChars="200"/>
    </w:pPr>
  </w:style>
  <w:style w:type="character" w:customStyle="1" w:styleId="27">
    <w:name w:val="标题 1 字符"/>
    <w:basedOn w:val="9"/>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2527</Words>
  <Characters>168</Characters>
  <Lines>1</Lines>
  <Paragraphs>5</Paragraphs>
  <TotalTime>3</TotalTime>
  <ScaleCrop>false</ScaleCrop>
  <LinksUpToDate>false</LinksUpToDate>
  <CharactersWithSpaces>2690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2018-10-22T02:21:00Z</dcterms:created>
  <dc:creator>qdqnzkq3</dc:creator>
  <cp:lastModifiedBy>王巍</cp:lastModifiedBy>
  <dcterms:modified xsi:type="dcterms:W3CDTF">2018-11-14T00:26:43Z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